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946F0" w14:textId="44EB8256" w:rsidR="007E76B6" w:rsidRDefault="007E76B6"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6FF5C166"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36CEA3AE" w:rsidR="00E87FCF" w:rsidRPr="00743E28" w:rsidRDefault="00061BB1" w:rsidP="00C36A1D">
            <w:pPr>
              <w:rPr>
                <w:rFonts w:ascii="Arial" w:hAnsi="Arial" w:cs="Arial"/>
                <w:sz w:val="20"/>
                <w:szCs w:val="20"/>
              </w:rPr>
            </w:pPr>
            <w:r w:rsidRPr="00743E28">
              <w:rPr>
                <w:rFonts w:ascii="Arial" w:hAnsi="Arial" w:cs="Arial"/>
                <w:sz w:val="20"/>
                <w:szCs w:val="20"/>
              </w:rPr>
              <w:t>LP-</w:t>
            </w:r>
            <w:r w:rsidR="0011667C">
              <w:rPr>
                <w:rFonts w:ascii="Arial" w:hAnsi="Arial" w:cs="Arial"/>
                <w:sz w:val="20"/>
                <w:szCs w:val="20"/>
              </w:rPr>
              <w:t>SC-010</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7E7FE9BA" w:rsidR="00E87FCF" w:rsidRPr="00743E28" w:rsidRDefault="00AE49D1" w:rsidP="00D73BA5">
            <w:pPr>
              <w:rPr>
                <w:rFonts w:ascii="Arial" w:hAnsi="Arial" w:cs="Arial"/>
                <w:sz w:val="20"/>
                <w:szCs w:val="20"/>
              </w:rPr>
            </w:pPr>
            <w:r>
              <w:rPr>
                <w:rFonts w:ascii="Arial" w:hAnsi="Arial" w:cs="Arial"/>
                <w:sz w:val="20"/>
                <w:szCs w:val="20"/>
              </w:rPr>
              <w:t>Local</w:t>
            </w:r>
            <w:r w:rsidR="00D73BA5">
              <w:rPr>
                <w:rFonts w:ascii="Arial" w:hAnsi="Arial" w:cs="Arial"/>
                <w:sz w:val="20"/>
                <w:szCs w:val="20"/>
              </w:rPr>
              <w:t xml:space="preserve">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52EF4AF4" w:rsidR="00E87FCF" w:rsidRPr="00C36A1D" w:rsidRDefault="0011667C" w:rsidP="001D099D">
            <w:pPr>
              <w:rPr>
                <w:rFonts w:ascii="Arial" w:hAnsi="Arial" w:cs="Arial"/>
                <w:sz w:val="20"/>
                <w:szCs w:val="20"/>
              </w:rPr>
            </w:pPr>
            <w:r>
              <w:rPr>
                <w:rFonts w:ascii="Arial" w:hAnsi="Arial" w:cs="Arial"/>
                <w:sz w:val="20"/>
                <w:szCs w:val="20"/>
              </w:rPr>
              <w:t>CONTRATACIÓN DE EMPRESA PRESTADORA DE SERVICIO DE SEGURIDAD</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4F865815" w:rsidR="00E87FCF" w:rsidRPr="00D64C21" w:rsidRDefault="001D099D" w:rsidP="00F9166E">
            <w:pPr>
              <w:rPr>
                <w:rFonts w:ascii="Arial" w:hAnsi="Arial" w:cs="Arial"/>
                <w:sz w:val="20"/>
                <w:szCs w:val="20"/>
              </w:rPr>
            </w:pPr>
            <w:r>
              <w:rPr>
                <w:rFonts w:ascii="Arial" w:hAnsi="Arial" w:cs="Arial"/>
                <w:sz w:val="20"/>
                <w:szCs w:val="20"/>
              </w:rPr>
              <w:t>Servicios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131DDC1B" w:rsidR="005672D9" w:rsidRPr="00F93013" w:rsidRDefault="00EB2361" w:rsidP="00F31DCD">
            <w:pPr>
              <w:rPr>
                <w:rFonts w:ascii="Arial" w:hAnsi="Arial" w:cs="Arial"/>
                <w:sz w:val="20"/>
                <w:szCs w:val="20"/>
              </w:rPr>
            </w:pPr>
            <w:r w:rsidRPr="00F93013">
              <w:rPr>
                <w:rFonts w:ascii="Arial" w:hAnsi="Arial" w:cs="Arial"/>
                <w:sz w:val="20"/>
                <w:szCs w:val="20"/>
              </w:rPr>
              <w:t>$</w:t>
            </w:r>
            <w:r w:rsidR="00F31DCD">
              <w:rPr>
                <w:rFonts w:ascii="Arial" w:hAnsi="Arial" w:cs="Arial"/>
                <w:sz w:val="20"/>
                <w:szCs w:val="20"/>
              </w:rPr>
              <w:t>255,000.00 (doscientos cincuenta y cinco mil pesos 00/100 m. n</w:t>
            </w:r>
            <w:r w:rsidR="005375E2" w:rsidRPr="00F93013">
              <w:rPr>
                <w:rFonts w:ascii="Arial" w:hAnsi="Arial" w:cs="Arial"/>
                <w:sz w:val="20"/>
                <w:szCs w:val="20"/>
              </w:rPr>
              <w:t>.</w:t>
            </w:r>
            <w:r w:rsidR="00F31DCD">
              <w:rPr>
                <w:rFonts w:ascii="Arial" w:hAnsi="Arial" w:cs="Arial"/>
                <w:sz w:val="20"/>
                <w:szCs w:val="20"/>
              </w:rPr>
              <w:t>)</w:t>
            </w:r>
            <w:r w:rsidR="00996F01">
              <w:rPr>
                <w:rFonts w:ascii="Arial" w:hAnsi="Arial" w:cs="Arial"/>
                <w:sz w:val="20"/>
                <w:szCs w:val="20"/>
              </w:rPr>
              <w:t xml:space="preserve"> del ejercicio fiscal 2024</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785B44FA" w14:textId="0C38CE3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A673A5"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A673A5"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A673A5"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A673A5"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A673A5"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A673A5"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A673A5">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A673A5"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A673A5">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A673A5">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A673A5">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A673A5">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A673A5">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A673A5">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A673A5">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A673A5"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A673A5">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A673A5">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A673A5"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A673A5"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A673A5"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A673A5"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A673A5"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A673A5"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A673A5"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A673A5"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A673A5"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A673A5"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A673A5"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A673A5"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A673A5"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A673A5"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A673A5"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A673A5"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A673A5"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A673A5"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A673A5">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A673A5">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A673A5">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A673A5">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A673A5">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A673A5">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A673A5">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A673A5"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A673A5">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A673A5"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A673A5"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A673A5"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A673A5"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A673A5"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A673A5"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A673A5"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A673A5"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A673A5"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A673A5"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0A8A0AF6" w:rsidR="00E87FCF" w:rsidRPr="00FA3609" w:rsidRDefault="0011667C" w:rsidP="00B530BF">
            <w:pPr>
              <w:jc w:val="both"/>
              <w:rPr>
                <w:rFonts w:ascii="Arial" w:hAnsi="Arial" w:cs="Arial"/>
                <w:sz w:val="20"/>
                <w:szCs w:val="20"/>
              </w:rPr>
            </w:pPr>
            <w:r>
              <w:rPr>
                <w:rFonts w:ascii="Arial" w:hAnsi="Arial" w:cs="Arial"/>
                <w:sz w:val="20"/>
                <w:szCs w:val="20"/>
              </w:rPr>
              <w:t>Viernes 05</w:t>
            </w:r>
            <w:r w:rsidR="004E4940" w:rsidRPr="00FA3609">
              <w:rPr>
                <w:rFonts w:ascii="Arial" w:hAnsi="Arial" w:cs="Arial"/>
                <w:sz w:val="20"/>
                <w:szCs w:val="20"/>
              </w:rPr>
              <w:t xml:space="preserve"> de </w:t>
            </w:r>
            <w:r w:rsidR="00B530BF">
              <w:rPr>
                <w:rFonts w:ascii="Arial" w:hAnsi="Arial" w:cs="Arial"/>
                <w:sz w:val="20"/>
                <w:szCs w:val="20"/>
              </w:rPr>
              <w:t>julio</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A673A5"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11667C" w:rsidRPr="009E15A4" w14:paraId="19BB719D" w14:textId="77777777" w:rsidTr="00FA3609">
        <w:trPr>
          <w:trHeight w:val="920"/>
        </w:trPr>
        <w:tc>
          <w:tcPr>
            <w:tcW w:w="562" w:type="dxa"/>
            <w:shd w:val="clear" w:color="auto" w:fill="BFBFBF" w:themeFill="background1" w:themeFillShade="BF"/>
            <w:vAlign w:val="center"/>
          </w:tcPr>
          <w:p w14:paraId="59BCF52A" w14:textId="5BE27D3F" w:rsidR="0011667C" w:rsidRPr="009E15A4" w:rsidRDefault="0011667C" w:rsidP="0011667C">
            <w:pPr>
              <w:jc w:val="center"/>
              <w:rPr>
                <w:rFonts w:ascii="Arial" w:hAnsi="Arial" w:cs="Arial"/>
                <w:b/>
                <w:sz w:val="20"/>
                <w:szCs w:val="20"/>
              </w:rPr>
            </w:pPr>
            <w:r>
              <w:rPr>
                <w:rFonts w:ascii="Arial" w:hAnsi="Arial" w:cs="Arial"/>
                <w:b/>
                <w:sz w:val="20"/>
                <w:szCs w:val="20"/>
              </w:rPr>
              <w:t>2</w:t>
            </w:r>
          </w:p>
        </w:tc>
        <w:tc>
          <w:tcPr>
            <w:tcW w:w="2410" w:type="dxa"/>
            <w:vAlign w:val="center"/>
          </w:tcPr>
          <w:p w14:paraId="41164544" w14:textId="5AD57ADB" w:rsidR="0011667C" w:rsidRPr="009E15A4" w:rsidRDefault="0011667C" w:rsidP="0011667C">
            <w:pPr>
              <w:rPr>
                <w:rFonts w:ascii="Arial" w:hAnsi="Arial" w:cs="Arial"/>
                <w:sz w:val="20"/>
                <w:szCs w:val="20"/>
              </w:rPr>
            </w:pPr>
            <w:r>
              <w:rPr>
                <w:rFonts w:ascii="Arial" w:hAnsi="Arial" w:cs="Arial"/>
                <w:sz w:val="20"/>
                <w:szCs w:val="20"/>
              </w:rPr>
              <w:t>Visita Guiada</w:t>
            </w:r>
          </w:p>
        </w:tc>
        <w:tc>
          <w:tcPr>
            <w:tcW w:w="2126" w:type="dxa"/>
            <w:shd w:val="clear" w:color="auto" w:fill="auto"/>
            <w:vAlign w:val="center"/>
          </w:tcPr>
          <w:p w14:paraId="0E6C28F5" w14:textId="321B45A4" w:rsidR="0011667C" w:rsidRDefault="0011667C" w:rsidP="0011667C">
            <w:pPr>
              <w:jc w:val="both"/>
              <w:rPr>
                <w:rFonts w:ascii="Arial" w:hAnsi="Arial" w:cs="Arial"/>
                <w:sz w:val="20"/>
                <w:szCs w:val="20"/>
              </w:rPr>
            </w:pPr>
            <w:r>
              <w:rPr>
                <w:rFonts w:ascii="Arial" w:hAnsi="Arial" w:cs="Arial"/>
                <w:sz w:val="20"/>
                <w:szCs w:val="20"/>
              </w:rPr>
              <w:t>Martes 09 de julio de 2024</w:t>
            </w:r>
          </w:p>
        </w:tc>
        <w:tc>
          <w:tcPr>
            <w:tcW w:w="2410" w:type="dxa"/>
            <w:shd w:val="clear" w:color="auto" w:fill="auto"/>
            <w:vAlign w:val="center"/>
          </w:tcPr>
          <w:p w14:paraId="666BFE04" w14:textId="32BFE041" w:rsidR="0011667C" w:rsidRPr="00FA3609" w:rsidRDefault="0011667C" w:rsidP="0011667C">
            <w:pPr>
              <w:jc w:val="both"/>
              <w:rPr>
                <w:rFonts w:ascii="Arial" w:hAnsi="Arial" w:cs="Arial"/>
                <w:sz w:val="20"/>
                <w:szCs w:val="20"/>
              </w:rPr>
            </w:pPr>
            <w:r>
              <w:rPr>
                <w:rFonts w:ascii="Arial" w:hAnsi="Arial" w:cs="Arial"/>
                <w:sz w:val="20"/>
                <w:szCs w:val="20"/>
              </w:rPr>
              <w:t>10:00 horas</w:t>
            </w:r>
          </w:p>
        </w:tc>
        <w:tc>
          <w:tcPr>
            <w:tcW w:w="1559" w:type="dxa"/>
            <w:vAlign w:val="center"/>
          </w:tcPr>
          <w:p w14:paraId="57FCD670" w14:textId="0AEFDB5F" w:rsidR="0011667C" w:rsidRPr="009E15A4" w:rsidRDefault="0011667C" w:rsidP="0011667C">
            <w:pPr>
              <w:jc w:val="both"/>
              <w:rPr>
                <w:rFonts w:ascii="Arial" w:hAnsi="Arial" w:cs="Arial"/>
                <w:sz w:val="20"/>
                <w:szCs w:val="20"/>
              </w:rPr>
            </w:pPr>
            <w:r w:rsidRPr="009E15A4">
              <w:rPr>
                <w:rFonts w:ascii="Arial" w:hAnsi="Arial" w:cs="Arial"/>
                <w:sz w:val="20"/>
                <w:szCs w:val="20"/>
              </w:rPr>
              <w:t>Instalaciones de la ASEJ</w:t>
            </w:r>
          </w:p>
        </w:tc>
      </w:tr>
      <w:tr w:rsidR="0011667C" w:rsidRPr="009E15A4" w14:paraId="6BCC4950" w14:textId="77777777" w:rsidTr="001D3950">
        <w:trPr>
          <w:trHeight w:val="920"/>
        </w:trPr>
        <w:tc>
          <w:tcPr>
            <w:tcW w:w="562" w:type="dxa"/>
            <w:shd w:val="clear" w:color="auto" w:fill="BFBFBF" w:themeFill="background1" w:themeFillShade="BF"/>
            <w:vAlign w:val="center"/>
          </w:tcPr>
          <w:p w14:paraId="43FD1B8E" w14:textId="1AEBC1D1" w:rsidR="0011667C" w:rsidRPr="009E15A4" w:rsidRDefault="0011667C" w:rsidP="0011667C">
            <w:pPr>
              <w:jc w:val="center"/>
              <w:rPr>
                <w:rFonts w:ascii="Arial" w:hAnsi="Arial" w:cs="Arial"/>
                <w:b/>
                <w:sz w:val="20"/>
                <w:szCs w:val="20"/>
              </w:rPr>
            </w:pPr>
            <w:r>
              <w:rPr>
                <w:rFonts w:ascii="Arial" w:hAnsi="Arial" w:cs="Arial"/>
                <w:b/>
                <w:sz w:val="20"/>
                <w:szCs w:val="20"/>
              </w:rPr>
              <w:t>3</w:t>
            </w:r>
          </w:p>
        </w:tc>
        <w:tc>
          <w:tcPr>
            <w:tcW w:w="2410" w:type="dxa"/>
            <w:vAlign w:val="center"/>
          </w:tcPr>
          <w:p w14:paraId="6016E256" w14:textId="5369ACA7" w:rsidR="0011667C" w:rsidRPr="009E15A4" w:rsidRDefault="0011667C" w:rsidP="0011667C">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44F5C53E" w:rsidR="0011667C" w:rsidRPr="009E15A4" w:rsidRDefault="0011667C" w:rsidP="0011667C">
            <w:pPr>
              <w:jc w:val="both"/>
              <w:rPr>
                <w:rFonts w:ascii="Arial" w:hAnsi="Arial" w:cs="Arial"/>
                <w:sz w:val="20"/>
                <w:szCs w:val="20"/>
              </w:rPr>
            </w:pPr>
            <w:r>
              <w:rPr>
                <w:rFonts w:ascii="Arial" w:hAnsi="Arial" w:cs="Arial"/>
                <w:sz w:val="20"/>
                <w:szCs w:val="20"/>
              </w:rPr>
              <w:t xml:space="preserve">Jueves 11 de julio </w:t>
            </w:r>
            <w:r w:rsidRPr="009E15A4">
              <w:rPr>
                <w:rFonts w:ascii="Arial" w:hAnsi="Arial" w:cs="Arial"/>
                <w:sz w:val="20"/>
                <w:szCs w:val="20"/>
              </w:rPr>
              <w:t xml:space="preserve"> de</w:t>
            </w:r>
            <w:r>
              <w:rPr>
                <w:rFonts w:ascii="Arial" w:hAnsi="Arial" w:cs="Arial"/>
                <w:sz w:val="20"/>
                <w:szCs w:val="20"/>
              </w:rPr>
              <w:t xml:space="preserve"> 2024</w:t>
            </w:r>
          </w:p>
        </w:tc>
        <w:tc>
          <w:tcPr>
            <w:tcW w:w="2410" w:type="dxa"/>
            <w:vAlign w:val="center"/>
          </w:tcPr>
          <w:p w14:paraId="3DF50803" w14:textId="690781FA" w:rsidR="0011667C" w:rsidRPr="009E15A4" w:rsidRDefault="0011667C" w:rsidP="0011667C">
            <w:pPr>
              <w:jc w:val="both"/>
              <w:rPr>
                <w:rFonts w:ascii="Arial" w:hAnsi="Arial" w:cs="Arial"/>
                <w:sz w:val="20"/>
                <w:szCs w:val="20"/>
              </w:rPr>
            </w:pPr>
            <w:r w:rsidRPr="009E15A4">
              <w:rPr>
                <w:rFonts w:ascii="Arial" w:hAnsi="Arial" w:cs="Arial"/>
                <w:sz w:val="20"/>
                <w:szCs w:val="20"/>
              </w:rPr>
              <w:t>A más tardar a las 1</w:t>
            </w:r>
            <w:r>
              <w:rPr>
                <w:rFonts w:ascii="Arial" w:hAnsi="Arial" w:cs="Arial"/>
                <w:sz w:val="20"/>
                <w:szCs w:val="20"/>
              </w:rPr>
              <w:t>3</w:t>
            </w:r>
            <w:r w:rsidRPr="009E15A4">
              <w:rPr>
                <w:rFonts w:ascii="Arial" w:hAnsi="Arial" w:cs="Arial"/>
                <w:sz w:val="20"/>
                <w:szCs w:val="20"/>
              </w:rPr>
              <w:t xml:space="preserve">:00 horas,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11667C" w:rsidRPr="009E15A4" w:rsidRDefault="0011667C" w:rsidP="0011667C">
            <w:pPr>
              <w:jc w:val="both"/>
              <w:rPr>
                <w:rFonts w:ascii="Arial" w:hAnsi="Arial" w:cs="Arial"/>
                <w:b/>
                <w:sz w:val="20"/>
                <w:szCs w:val="20"/>
              </w:rPr>
            </w:pPr>
            <w:r w:rsidRPr="009E15A4">
              <w:rPr>
                <w:rFonts w:ascii="Arial" w:hAnsi="Arial" w:cs="Arial"/>
                <w:sz w:val="20"/>
                <w:szCs w:val="20"/>
              </w:rPr>
              <w:t>Instalaciones de la ASEJ</w:t>
            </w:r>
          </w:p>
        </w:tc>
      </w:tr>
      <w:tr w:rsidR="0011667C" w:rsidRPr="009E15A4" w14:paraId="5A0059F7" w14:textId="77777777" w:rsidTr="001D3950">
        <w:trPr>
          <w:trHeight w:val="552"/>
        </w:trPr>
        <w:tc>
          <w:tcPr>
            <w:tcW w:w="562" w:type="dxa"/>
            <w:shd w:val="clear" w:color="auto" w:fill="BFBFBF" w:themeFill="background1" w:themeFillShade="BF"/>
            <w:vAlign w:val="center"/>
          </w:tcPr>
          <w:p w14:paraId="2A19326B" w14:textId="61771FED" w:rsidR="0011667C" w:rsidRPr="009E15A4" w:rsidRDefault="0011667C" w:rsidP="0011667C">
            <w:pPr>
              <w:jc w:val="center"/>
              <w:rPr>
                <w:rFonts w:ascii="Arial" w:hAnsi="Arial" w:cs="Arial"/>
                <w:b/>
                <w:sz w:val="20"/>
                <w:szCs w:val="20"/>
              </w:rPr>
            </w:pPr>
            <w:r>
              <w:rPr>
                <w:rFonts w:ascii="Arial" w:hAnsi="Arial" w:cs="Arial"/>
                <w:b/>
                <w:sz w:val="20"/>
                <w:szCs w:val="20"/>
              </w:rPr>
              <w:t>4</w:t>
            </w:r>
          </w:p>
        </w:tc>
        <w:tc>
          <w:tcPr>
            <w:tcW w:w="2410" w:type="dxa"/>
            <w:vAlign w:val="center"/>
          </w:tcPr>
          <w:p w14:paraId="23AFF7BB" w14:textId="58CF2FDA" w:rsidR="0011667C" w:rsidRPr="009E15A4" w:rsidRDefault="0011667C" w:rsidP="0011667C">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45778376" w:rsidR="0011667C" w:rsidRPr="00FA3609" w:rsidRDefault="0011667C" w:rsidP="0011667C">
            <w:pPr>
              <w:jc w:val="both"/>
              <w:rPr>
                <w:rFonts w:ascii="Arial" w:hAnsi="Arial" w:cs="Arial"/>
                <w:sz w:val="20"/>
                <w:szCs w:val="20"/>
              </w:rPr>
            </w:pPr>
            <w:r>
              <w:rPr>
                <w:rFonts w:ascii="Arial" w:hAnsi="Arial" w:cs="Arial"/>
                <w:sz w:val="20"/>
                <w:szCs w:val="20"/>
              </w:rPr>
              <w:t xml:space="preserve">Lunes 15 </w:t>
            </w:r>
            <w:r w:rsidRPr="00FA3609">
              <w:rPr>
                <w:rFonts w:ascii="Arial" w:hAnsi="Arial" w:cs="Arial"/>
                <w:sz w:val="20"/>
                <w:szCs w:val="20"/>
              </w:rPr>
              <w:t xml:space="preserve">de </w:t>
            </w:r>
            <w:r>
              <w:rPr>
                <w:rFonts w:ascii="Arial" w:hAnsi="Arial" w:cs="Arial"/>
                <w:sz w:val="20"/>
                <w:szCs w:val="20"/>
              </w:rPr>
              <w:t>julio</w:t>
            </w:r>
            <w:r w:rsidRPr="00FA3609">
              <w:rPr>
                <w:rFonts w:ascii="Arial" w:hAnsi="Arial" w:cs="Arial"/>
                <w:sz w:val="20"/>
                <w:szCs w:val="20"/>
              </w:rPr>
              <w:t xml:space="preserve"> de  2024 </w:t>
            </w:r>
          </w:p>
        </w:tc>
        <w:tc>
          <w:tcPr>
            <w:tcW w:w="2410" w:type="dxa"/>
            <w:vAlign w:val="center"/>
          </w:tcPr>
          <w:p w14:paraId="41371463" w14:textId="68BC8467" w:rsidR="0011667C" w:rsidRPr="009E15A4" w:rsidRDefault="0011667C" w:rsidP="0011667C">
            <w:pPr>
              <w:jc w:val="center"/>
              <w:rPr>
                <w:rFonts w:ascii="Arial" w:hAnsi="Arial" w:cs="Arial"/>
                <w:sz w:val="20"/>
                <w:szCs w:val="20"/>
              </w:rPr>
            </w:pPr>
            <w:r w:rsidRPr="0097118D">
              <w:rPr>
                <w:rFonts w:ascii="Arial" w:hAnsi="Arial" w:cs="Arial"/>
                <w:sz w:val="20"/>
                <w:szCs w:val="20"/>
              </w:rPr>
              <w:t>11:</w:t>
            </w:r>
            <w:r>
              <w:rPr>
                <w:rFonts w:ascii="Arial" w:hAnsi="Arial" w:cs="Arial"/>
                <w:sz w:val="20"/>
                <w:szCs w:val="20"/>
              </w:rPr>
              <w:t>0</w:t>
            </w:r>
            <w:r w:rsidRPr="0097118D">
              <w:rPr>
                <w:rFonts w:ascii="Arial" w:hAnsi="Arial" w:cs="Arial"/>
                <w:sz w:val="20"/>
                <w:szCs w:val="20"/>
              </w:rPr>
              <w:t>0 horas</w:t>
            </w:r>
          </w:p>
        </w:tc>
        <w:tc>
          <w:tcPr>
            <w:tcW w:w="1559" w:type="dxa"/>
            <w:vAlign w:val="center"/>
          </w:tcPr>
          <w:p w14:paraId="7915F261" w14:textId="746D3FC2" w:rsidR="0011667C" w:rsidRPr="009E15A4" w:rsidRDefault="0011667C" w:rsidP="0011667C">
            <w:pPr>
              <w:jc w:val="both"/>
              <w:rPr>
                <w:rFonts w:ascii="Arial" w:hAnsi="Arial" w:cs="Arial"/>
                <w:b/>
                <w:sz w:val="20"/>
                <w:szCs w:val="20"/>
              </w:rPr>
            </w:pPr>
            <w:r w:rsidRPr="009E15A4">
              <w:rPr>
                <w:rFonts w:ascii="Arial" w:hAnsi="Arial" w:cs="Arial"/>
                <w:sz w:val="20"/>
                <w:szCs w:val="20"/>
              </w:rPr>
              <w:t>Instalaciones de la ASEJ</w:t>
            </w:r>
          </w:p>
        </w:tc>
      </w:tr>
      <w:tr w:rsidR="0011667C" w:rsidRPr="009E15A4" w14:paraId="7F7E9233" w14:textId="77777777" w:rsidTr="001D3950">
        <w:trPr>
          <w:trHeight w:val="552"/>
        </w:trPr>
        <w:tc>
          <w:tcPr>
            <w:tcW w:w="562" w:type="dxa"/>
            <w:shd w:val="clear" w:color="auto" w:fill="BFBFBF" w:themeFill="background1" w:themeFillShade="BF"/>
            <w:vAlign w:val="center"/>
          </w:tcPr>
          <w:p w14:paraId="4C8A231F" w14:textId="3210BF5C" w:rsidR="0011667C" w:rsidRPr="009E15A4" w:rsidRDefault="0011667C" w:rsidP="0011667C">
            <w:pPr>
              <w:jc w:val="center"/>
              <w:rPr>
                <w:rFonts w:ascii="Arial" w:hAnsi="Arial" w:cs="Arial"/>
                <w:b/>
                <w:sz w:val="20"/>
                <w:szCs w:val="20"/>
              </w:rPr>
            </w:pPr>
            <w:r>
              <w:rPr>
                <w:rFonts w:ascii="Arial" w:hAnsi="Arial" w:cs="Arial"/>
                <w:b/>
                <w:sz w:val="20"/>
                <w:szCs w:val="20"/>
              </w:rPr>
              <w:t>5</w:t>
            </w:r>
          </w:p>
        </w:tc>
        <w:tc>
          <w:tcPr>
            <w:tcW w:w="2410" w:type="dxa"/>
            <w:vAlign w:val="center"/>
          </w:tcPr>
          <w:p w14:paraId="6A723114" w14:textId="5AE4AF81" w:rsidR="0011667C" w:rsidRPr="009E15A4" w:rsidRDefault="0011667C" w:rsidP="0011667C">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11667C" w:rsidRPr="009E15A4" w:rsidRDefault="0011667C" w:rsidP="0011667C">
            <w:pPr>
              <w:jc w:val="both"/>
              <w:rPr>
                <w:rFonts w:ascii="Arial" w:hAnsi="Arial" w:cs="Arial"/>
                <w:sz w:val="20"/>
                <w:szCs w:val="20"/>
              </w:rPr>
            </w:pPr>
            <w:r w:rsidRPr="00F7753C">
              <w:rPr>
                <w:rFonts w:ascii="Arial" w:hAnsi="Arial" w:cs="Arial"/>
                <w:sz w:val="20"/>
                <w:szCs w:val="20"/>
                <w:highlight w:val="cyan"/>
              </w:rPr>
              <w:t>Desde la publicación de la Convocatoria y hasta 30 minutos antes de la apertura de propuestas, en Oficialía de Partes de la Auditoría Superior del Estado de Jalisco.</w:t>
            </w:r>
          </w:p>
        </w:tc>
        <w:tc>
          <w:tcPr>
            <w:tcW w:w="1559" w:type="dxa"/>
            <w:vAlign w:val="center"/>
          </w:tcPr>
          <w:p w14:paraId="17219C87" w14:textId="65BCE60E" w:rsidR="0011667C" w:rsidRPr="009E15A4" w:rsidRDefault="0011667C" w:rsidP="0011667C">
            <w:pPr>
              <w:jc w:val="both"/>
              <w:rPr>
                <w:rFonts w:ascii="Arial" w:hAnsi="Arial" w:cs="Arial"/>
                <w:sz w:val="20"/>
                <w:szCs w:val="20"/>
              </w:rPr>
            </w:pPr>
            <w:r w:rsidRPr="009E15A4">
              <w:rPr>
                <w:rFonts w:ascii="Arial" w:hAnsi="Arial" w:cs="Arial"/>
                <w:sz w:val="20"/>
                <w:szCs w:val="20"/>
              </w:rPr>
              <w:t>Instalaciones de la ASEJ</w:t>
            </w:r>
          </w:p>
        </w:tc>
      </w:tr>
      <w:tr w:rsidR="0011667C" w:rsidRPr="009E15A4" w14:paraId="511EED87" w14:textId="77777777" w:rsidTr="001D3950">
        <w:trPr>
          <w:trHeight w:val="920"/>
        </w:trPr>
        <w:tc>
          <w:tcPr>
            <w:tcW w:w="562" w:type="dxa"/>
            <w:shd w:val="clear" w:color="auto" w:fill="BFBFBF" w:themeFill="background1" w:themeFillShade="BF"/>
            <w:vAlign w:val="center"/>
          </w:tcPr>
          <w:p w14:paraId="7B5C9AF9" w14:textId="4789F45A" w:rsidR="0011667C" w:rsidRPr="009E15A4" w:rsidRDefault="0011667C" w:rsidP="0011667C">
            <w:pPr>
              <w:jc w:val="center"/>
              <w:rPr>
                <w:rFonts w:ascii="Arial" w:hAnsi="Arial" w:cs="Arial"/>
                <w:b/>
                <w:sz w:val="20"/>
                <w:szCs w:val="20"/>
              </w:rPr>
            </w:pPr>
            <w:r>
              <w:rPr>
                <w:rFonts w:ascii="Arial" w:hAnsi="Arial" w:cs="Arial"/>
                <w:b/>
                <w:sz w:val="20"/>
                <w:szCs w:val="20"/>
              </w:rPr>
              <w:t>6</w:t>
            </w:r>
          </w:p>
        </w:tc>
        <w:tc>
          <w:tcPr>
            <w:tcW w:w="2410" w:type="dxa"/>
            <w:vAlign w:val="center"/>
          </w:tcPr>
          <w:p w14:paraId="2AB23027" w14:textId="063E22B3" w:rsidR="0011667C" w:rsidRPr="009E15A4" w:rsidRDefault="0011667C" w:rsidP="0011667C">
            <w:pPr>
              <w:rPr>
                <w:rFonts w:ascii="Arial" w:hAnsi="Arial" w:cs="Arial"/>
                <w:sz w:val="20"/>
                <w:szCs w:val="20"/>
              </w:rPr>
            </w:pPr>
            <w:r w:rsidRPr="009E15A4">
              <w:rPr>
                <w:rFonts w:ascii="Arial" w:hAnsi="Arial" w:cs="Arial"/>
                <w:sz w:val="20"/>
                <w:szCs w:val="20"/>
              </w:rPr>
              <w:t xml:space="preserve">Acto de presentación y apertura de propuestas. </w:t>
            </w:r>
          </w:p>
        </w:tc>
        <w:tc>
          <w:tcPr>
            <w:tcW w:w="2126" w:type="dxa"/>
            <w:vAlign w:val="center"/>
          </w:tcPr>
          <w:p w14:paraId="10EE1F03" w14:textId="0A61ED27" w:rsidR="0011667C" w:rsidRPr="009E15A4" w:rsidRDefault="0011667C" w:rsidP="0011667C">
            <w:pPr>
              <w:jc w:val="center"/>
              <w:rPr>
                <w:rFonts w:ascii="Arial" w:hAnsi="Arial" w:cs="Arial"/>
                <w:sz w:val="20"/>
                <w:szCs w:val="20"/>
              </w:rPr>
            </w:pPr>
            <w:r>
              <w:rPr>
                <w:rFonts w:ascii="Arial" w:hAnsi="Arial" w:cs="Arial"/>
                <w:sz w:val="20"/>
                <w:szCs w:val="20"/>
              </w:rPr>
              <w:t>Viernes 19 de julio</w:t>
            </w:r>
            <w:r w:rsidRPr="009E15A4">
              <w:rPr>
                <w:rFonts w:ascii="Arial" w:hAnsi="Arial" w:cs="Arial"/>
                <w:sz w:val="20"/>
                <w:szCs w:val="20"/>
              </w:rPr>
              <w:t xml:space="preserve"> de </w:t>
            </w:r>
            <w:r>
              <w:rPr>
                <w:rFonts w:ascii="Arial" w:hAnsi="Arial" w:cs="Arial"/>
                <w:sz w:val="20"/>
                <w:szCs w:val="20"/>
              </w:rPr>
              <w:t>2024</w:t>
            </w:r>
          </w:p>
        </w:tc>
        <w:tc>
          <w:tcPr>
            <w:tcW w:w="2410" w:type="dxa"/>
            <w:vAlign w:val="center"/>
          </w:tcPr>
          <w:p w14:paraId="1A287D93" w14:textId="70CD21D5" w:rsidR="0011667C" w:rsidRPr="009E15A4" w:rsidRDefault="0011667C" w:rsidP="0011667C">
            <w:pPr>
              <w:ind w:left="708"/>
              <w:jc w:val="both"/>
              <w:rPr>
                <w:rFonts w:ascii="Arial" w:hAnsi="Arial" w:cs="Arial"/>
                <w:sz w:val="20"/>
                <w:szCs w:val="20"/>
              </w:rPr>
            </w:pPr>
            <w:r w:rsidRPr="0097118D">
              <w:rPr>
                <w:rFonts w:ascii="Arial" w:hAnsi="Arial" w:cs="Arial"/>
                <w:sz w:val="20"/>
                <w:szCs w:val="20"/>
              </w:rPr>
              <w:t>11:</w:t>
            </w:r>
            <w:r>
              <w:rPr>
                <w:rFonts w:ascii="Arial" w:hAnsi="Arial" w:cs="Arial"/>
                <w:sz w:val="20"/>
                <w:szCs w:val="20"/>
              </w:rPr>
              <w:t>0</w:t>
            </w:r>
            <w:r w:rsidRPr="0097118D">
              <w:rPr>
                <w:rFonts w:ascii="Arial" w:hAnsi="Arial" w:cs="Arial"/>
                <w:sz w:val="20"/>
                <w:szCs w:val="20"/>
              </w:rPr>
              <w:t>0</w:t>
            </w:r>
            <w:r w:rsidRPr="009E15A4">
              <w:rPr>
                <w:rFonts w:ascii="Arial" w:hAnsi="Arial" w:cs="Arial"/>
                <w:sz w:val="20"/>
                <w:szCs w:val="20"/>
              </w:rPr>
              <w:t xml:space="preserve"> horas.</w:t>
            </w:r>
          </w:p>
        </w:tc>
        <w:tc>
          <w:tcPr>
            <w:tcW w:w="1559" w:type="dxa"/>
            <w:vAlign w:val="center"/>
          </w:tcPr>
          <w:p w14:paraId="1E662ED2" w14:textId="1E33E62C" w:rsidR="0011667C" w:rsidRPr="009E15A4" w:rsidRDefault="0011667C" w:rsidP="0011667C">
            <w:pPr>
              <w:jc w:val="both"/>
              <w:rPr>
                <w:rFonts w:ascii="Arial" w:hAnsi="Arial" w:cs="Arial"/>
                <w:b/>
                <w:sz w:val="20"/>
                <w:szCs w:val="20"/>
              </w:rPr>
            </w:pPr>
            <w:r w:rsidRPr="009E15A4">
              <w:rPr>
                <w:rFonts w:ascii="Arial" w:hAnsi="Arial" w:cs="Arial"/>
                <w:sz w:val="20"/>
                <w:szCs w:val="20"/>
              </w:rPr>
              <w:t>Instalaciones de la ASEJ</w:t>
            </w:r>
          </w:p>
        </w:tc>
      </w:tr>
      <w:tr w:rsidR="0011667C" w:rsidRPr="009E15A4" w14:paraId="25D42CA3" w14:textId="77777777" w:rsidTr="001D3950">
        <w:trPr>
          <w:trHeight w:val="773"/>
        </w:trPr>
        <w:tc>
          <w:tcPr>
            <w:tcW w:w="562" w:type="dxa"/>
            <w:shd w:val="clear" w:color="auto" w:fill="BFBFBF" w:themeFill="background1" w:themeFillShade="BF"/>
            <w:vAlign w:val="center"/>
          </w:tcPr>
          <w:p w14:paraId="2A8B3993" w14:textId="127008EC" w:rsidR="0011667C" w:rsidRPr="009E15A4" w:rsidRDefault="0011667C" w:rsidP="0011667C">
            <w:pPr>
              <w:jc w:val="center"/>
              <w:rPr>
                <w:rFonts w:ascii="Arial" w:hAnsi="Arial" w:cs="Arial"/>
                <w:b/>
                <w:sz w:val="20"/>
                <w:szCs w:val="20"/>
              </w:rPr>
            </w:pPr>
            <w:r>
              <w:rPr>
                <w:rFonts w:ascii="Arial" w:hAnsi="Arial" w:cs="Arial"/>
                <w:b/>
                <w:sz w:val="20"/>
                <w:szCs w:val="20"/>
              </w:rPr>
              <w:t>7</w:t>
            </w:r>
          </w:p>
        </w:tc>
        <w:tc>
          <w:tcPr>
            <w:tcW w:w="2410" w:type="dxa"/>
            <w:vAlign w:val="center"/>
          </w:tcPr>
          <w:p w14:paraId="3A2C7499" w14:textId="77777777" w:rsidR="0011667C" w:rsidRPr="009E15A4" w:rsidRDefault="0011667C" w:rsidP="0011667C">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11667C" w:rsidRPr="009E15A4" w:rsidRDefault="0011667C" w:rsidP="0011667C">
            <w:pPr>
              <w:jc w:val="both"/>
              <w:rPr>
                <w:rFonts w:ascii="Arial" w:hAnsi="Arial" w:cs="Arial"/>
                <w:sz w:val="20"/>
                <w:szCs w:val="20"/>
              </w:rPr>
            </w:pPr>
            <w:r w:rsidRPr="009E15A4">
              <w:rPr>
                <w:rFonts w:ascii="Arial" w:hAnsi="Arial" w:cs="Arial"/>
                <w:sz w:val="20"/>
                <w:szCs w:val="20"/>
              </w:rPr>
              <w:t xml:space="preserve">Dentro de los </w:t>
            </w:r>
            <w:r>
              <w:rPr>
                <w:rFonts w:ascii="Arial" w:hAnsi="Arial" w:cs="Arial"/>
                <w:sz w:val="20"/>
                <w:szCs w:val="20"/>
              </w:rPr>
              <w:t>veinte</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11667C" w:rsidRPr="009E15A4" w:rsidRDefault="0011667C" w:rsidP="0011667C">
            <w:pPr>
              <w:jc w:val="both"/>
              <w:rPr>
                <w:rFonts w:ascii="Arial" w:hAnsi="Arial" w:cs="Arial"/>
                <w:b/>
                <w:sz w:val="20"/>
                <w:szCs w:val="20"/>
              </w:rPr>
            </w:pPr>
            <w:r w:rsidRPr="009E15A4">
              <w:rPr>
                <w:rFonts w:ascii="Arial" w:hAnsi="Arial" w:cs="Arial"/>
                <w:sz w:val="20"/>
                <w:szCs w:val="20"/>
              </w:rPr>
              <w:t>Instalaciones de la ASEJ</w:t>
            </w:r>
          </w:p>
        </w:tc>
      </w:tr>
      <w:tr w:rsidR="0011667C" w:rsidRPr="009E15A4" w14:paraId="514AA882" w14:textId="77777777" w:rsidTr="001D3950">
        <w:trPr>
          <w:trHeight w:val="546"/>
        </w:trPr>
        <w:tc>
          <w:tcPr>
            <w:tcW w:w="562" w:type="dxa"/>
            <w:shd w:val="clear" w:color="auto" w:fill="BFBFBF" w:themeFill="background1" w:themeFillShade="BF"/>
            <w:vAlign w:val="center"/>
          </w:tcPr>
          <w:p w14:paraId="57C13B69" w14:textId="6F13129C" w:rsidR="0011667C" w:rsidRPr="009E15A4" w:rsidRDefault="0011667C" w:rsidP="0011667C">
            <w:pPr>
              <w:jc w:val="center"/>
              <w:rPr>
                <w:rFonts w:ascii="Arial" w:hAnsi="Arial" w:cs="Arial"/>
                <w:b/>
                <w:sz w:val="20"/>
                <w:szCs w:val="20"/>
              </w:rPr>
            </w:pPr>
            <w:r>
              <w:rPr>
                <w:rFonts w:ascii="Arial" w:hAnsi="Arial" w:cs="Arial"/>
                <w:b/>
                <w:sz w:val="20"/>
                <w:szCs w:val="20"/>
              </w:rPr>
              <w:t>8</w:t>
            </w:r>
          </w:p>
        </w:tc>
        <w:tc>
          <w:tcPr>
            <w:tcW w:w="2410" w:type="dxa"/>
            <w:vAlign w:val="center"/>
          </w:tcPr>
          <w:p w14:paraId="2B110EF3" w14:textId="77777777" w:rsidR="0011667C" w:rsidRPr="009E15A4" w:rsidRDefault="0011667C" w:rsidP="0011667C">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11667C" w:rsidRPr="009E15A4" w:rsidRDefault="0011667C" w:rsidP="0011667C">
            <w:pPr>
              <w:jc w:val="both"/>
              <w:rPr>
                <w:rFonts w:ascii="Arial" w:hAnsi="Arial" w:cs="Arial"/>
                <w:sz w:val="20"/>
                <w:szCs w:val="20"/>
              </w:rPr>
            </w:pPr>
            <w:r w:rsidRPr="009E15A4">
              <w:rPr>
                <w:rFonts w:ascii="Arial" w:hAnsi="Arial" w:cs="Arial"/>
                <w:sz w:val="20"/>
                <w:szCs w:val="20"/>
              </w:rPr>
              <w:t>Dentro de los diez días naturales posteriores a la emisión del dictamen de fallo.</w:t>
            </w:r>
          </w:p>
        </w:tc>
        <w:tc>
          <w:tcPr>
            <w:tcW w:w="1559" w:type="dxa"/>
            <w:vAlign w:val="center"/>
          </w:tcPr>
          <w:p w14:paraId="1BC0DF7E" w14:textId="70E4491F" w:rsidR="0011667C" w:rsidRPr="009E15A4" w:rsidRDefault="0011667C" w:rsidP="0011667C">
            <w:pPr>
              <w:jc w:val="both"/>
              <w:rPr>
                <w:rFonts w:ascii="Arial" w:hAnsi="Arial" w:cs="Arial"/>
                <w:b/>
                <w:sz w:val="20"/>
                <w:szCs w:val="20"/>
              </w:rPr>
            </w:pPr>
            <w:r w:rsidRPr="009E15A4">
              <w:rPr>
                <w:rFonts w:ascii="Arial" w:hAnsi="Arial" w:cs="Arial"/>
                <w:sz w:val="20"/>
                <w:szCs w:val="20"/>
              </w:rPr>
              <w:t>Instalaciones de la ASEJ</w:t>
            </w:r>
          </w:p>
        </w:tc>
      </w:tr>
      <w:tr w:rsidR="0011667C" w:rsidRPr="009E15A4" w14:paraId="25A6C804" w14:textId="77777777" w:rsidTr="001D3950">
        <w:trPr>
          <w:trHeight w:val="697"/>
        </w:trPr>
        <w:tc>
          <w:tcPr>
            <w:tcW w:w="562" w:type="dxa"/>
            <w:shd w:val="clear" w:color="auto" w:fill="BFBFBF" w:themeFill="background1" w:themeFillShade="BF"/>
            <w:vAlign w:val="center"/>
          </w:tcPr>
          <w:p w14:paraId="382F64DC" w14:textId="49BDD273" w:rsidR="0011667C" w:rsidRPr="009E15A4" w:rsidRDefault="0011667C" w:rsidP="0011667C">
            <w:pPr>
              <w:jc w:val="center"/>
              <w:rPr>
                <w:rFonts w:ascii="Arial" w:hAnsi="Arial" w:cs="Arial"/>
                <w:b/>
                <w:sz w:val="20"/>
                <w:szCs w:val="20"/>
              </w:rPr>
            </w:pPr>
            <w:r>
              <w:rPr>
                <w:rFonts w:ascii="Arial" w:hAnsi="Arial" w:cs="Arial"/>
                <w:b/>
                <w:sz w:val="20"/>
                <w:szCs w:val="20"/>
              </w:rPr>
              <w:t>9</w:t>
            </w:r>
          </w:p>
        </w:tc>
        <w:tc>
          <w:tcPr>
            <w:tcW w:w="2410" w:type="dxa"/>
            <w:vAlign w:val="center"/>
          </w:tcPr>
          <w:p w14:paraId="0D3D1967" w14:textId="77777777" w:rsidR="0011667C" w:rsidRPr="009E15A4" w:rsidRDefault="0011667C" w:rsidP="0011667C">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11667C" w:rsidRPr="009E15A4" w:rsidRDefault="0011667C" w:rsidP="0011667C">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11667C" w:rsidRPr="009E15A4" w:rsidRDefault="0011667C" w:rsidP="0011667C">
            <w:pPr>
              <w:jc w:val="both"/>
              <w:rPr>
                <w:rFonts w:ascii="Arial" w:hAnsi="Arial" w:cs="Arial"/>
                <w:b/>
                <w:sz w:val="20"/>
                <w:szCs w:val="20"/>
              </w:rPr>
            </w:pPr>
            <w:r w:rsidRPr="009E15A4">
              <w:rPr>
                <w:rFonts w:ascii="Arial" w:hAnsi="Arial" w:cs="Arial"/>
                <w:sz w:val="20"/>
                <w:szCs w:val="20"/>
              </w:rPr>
              <w:t>Instalaciones de la ASEJ</w:t>
            </w:r>
          </w:p>
        </w:tc>
      </w:tr>
      <w:tr w:rsidR="0011667C" w:rsidRPr="009E15A4" w14:paraId="12D3DAE5" w14:textId="77777777" w:rsidTr="001D3950">
        <w:trPr>
          <w:trHeight w:val="611"/>
        </w:trPr>
        <w:tc>
          <w:tcPr>
            <w:tcW w:w="562" w:type="dxa"/>
            <w:shd w:val="clear" w:color="auto" w:fill="BFBFBF" w:themeFill="background1" w:themeFillShade="BF"/>
            <w:vAlign w:val="center"/>
          </w:tcPr>
          <w:p w14:paraId="0A53FEF9" w14:textId="5BA563EF" w:rsidR="0011667C" w:rsidRPr="009E15A4" w:rsidRDefault="0011667C" w:rsidP="0011667C">
            <w:pPr>
              <w:jc w:val="center"/>
              <w:rPr>
                <w:rFonts w:ascii="Arial" w:hAnsi="Arial" w:cs="Arial"/>
                <w:b/>
                <w:sz w:val="20"/>
                <w:szCs w:val="20"/>
              </w:rPr>
            </w:pPr>
            <w:r>
              <w:rPr>
                <w:rFonts w:ascii="Arial" w:hAnsi="Arial" w:cs="Arial"/>
                <w:b/>
                <w:sz w:val="20"/>
                <w:szCs w:val="20"/>
              </w:rPr>
              <w:t>10</w:t>
            </w:r>
          </w:p>
        </w:tc>
        <w:tc>
          <w:tcPr>
            <w:tcW w:w="2410" w:type="dxa"/>
            <w:vAlign w:val="center"/>
          </w:tcPr>
          <w:p w14:paraId="53695A4E" w14:textId="34C88ECC" w:rsidR="0011667C" w:rsidRPr="009E15A4" w:rsidRDefault="0011667C" w:rsidP="0011667C">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11667C" w:rsidRPr="009E15A4" w:rsidRDefault="0011667C" w:rsidP="0011667C">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11667C" w:rsidRPr="009E15A4" w:rsidRDefault="0011667C" w:rsidP="0011667C">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0CD7022F"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2F7B8D88" w14:textId="77777777" w:rsidR="00C432A8" w:rsidRDefault="00C432A8"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1D099D" w:rsidRPr="00F9166E" w14:paraId="2D34797D" w14:textId="77777777" w:rsidTr="00B530BF">
        <w:tc>
          <w:tcPr>
            <w:tcW w:w="3581" w:type="dxa"/>
            <w:shd w:val="clear" w:color="auto" w:fill="BFBFBF" w:themeFill="background1" w:themeFillShade="BF"/>
            <w:vAlign w:val="center"/>
          </w:tcPr>
          <w:p w14:paraId="7FDD38C0" w14:textId="3CBDE38C" w:rsidR="001D099D" w:rsidRPr="00F9166E" w:rsidRDefault="001D099D" w:rsidP="001D099D">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Borders>
              <w:top w:val="single" w:sz="4" w:space="0" w:color="auto"/>
              <w:left w:val="single" w:sz="4" w:space="0" w:color="auto"/>
              <w:bottom w:val="single" w:sz="4" w:space="0" w:color="auto"/>
              <w:right w:val="single" w:sz="4" w:space="0" w:color="auto"/>
            </w:tcBorders>
          </w:tcPr>
          <w:p w14:paraId="64D7285E" w14:textId="1B825B86" w:rsidR="001D099D" w:rsidRPr="00F9166E" w:rsidRDefault="005D5240" w:rsidP="005D5240">
            <w:pPr>
              <w:pStyle w:val="Sinespaciado"/>
              <w:jc w:val="both"/>
              <w:rPr>
                <w:rFonts w:ascii="Arial" w:hAnsi="Arial" w:cs="Arial"/>
                <w:b/>
                <w:color w:val="000000"/>
                <w:sz w:val="20"/>
                <w:szCs w:val="20"/>
              </w:rPr>
            </w:pPr>
            <w:bookmarkStart w:id="3" w:name="_GoBack"/>
            <w:bookmarkEnd w:id="3"/>
            <w:r>
              <w:rPr>
                <w:rFonts w:ascii="Arial" w:hAnsi="Arial" w:cs="Arial"/>
                <w:color w:val="000000"/>
                <w:sz w:val="20"/>
                <w:szCs w:val="20"/>
              </w:rPr>
              <w:t>Contratación de empresa prestadora de servicio de seguridad y vigilancia</w:t>
            </w:r>
          </w:p>
        </w:tc>
      </w:tr>
      <w:tr w:rsidR="001D099D" w:rsidRPr="00F9166E" w14:paraId="396E7F99" w14:textId="77777777" w:rsidTr="00B530BF">
        <w:tc>
          <w:tcPr>
            <w:tcW w:w="3581" w:type="dxa"/>
            <w:shd w:val="clear" w:color="auto" w:fill="BFBFBF" w:themeFill="background1" w:themeFillShade="BF"/>
            <w:vAlign w:val="center"/>
          </w:tcPr>
          <w:p w14:paraId="512573FF" w14:textId="5BCF445B" w:rsidR="001D099D" w:rsidRPr="00F9166E" w:rsidRDefault="001D099D" w:rsidP="001D099D">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Borders>
              <w:top w:val="single" w:sz="4" w:space="0" w:color="auto"/>
              <w:left w:val="single" w:sz="4" w:space="0" w:color="auto"/>
              <w:bottom w:val="single" w:sz="4" w:space="0" w:color="auto"/>
              <w:right w:val="single" w:sz="4" w:space="0" w:color="auto"/>
            </w:tcBorders>
            <w:vAlign w:val="center"/>
          </w:tcPr>
          <w:p w14:paraId="24DFD155" w14:textId="076A2F4E" w:rsidR="001D099D" w:rsidRPr="0011667C" w:rsidRDefault="0011667C" w:rsidP="00B530BF">
            <w:pPr>
              <w:pStyle w:val="Sinespaciado"/>
              <w:jc w:val="both"/>
              <w:rPr>
                <w:rFonts w:ascii="Arial" w:hAnsi="Arial" w:cs="Arial"/>
                <w:color w:val="000000"/>
                <w:sz w:val="20"/>
                <w:szCs w:val="20"/>
              </w:rPr>
            </w:pPr>
            <w:r>
              <w:rPr>
                <w:rFonts w:ascii="Arial" w:hAnsi="Arial" w:cs="Arial"/>
                <w:color w:val="000000"/>
                <w:sz w:val="20"/>
                <w:szCs w:val="20"/>
              </w:rPr>
              <w:t>Contratación de empresa prestadora de servicio de seguridad y vigilancia de conformidad con lo señalado en las “Especificaciones Técnicas para los Anexos 1 y 5 LP-SC-010-2024”</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09C44AAA" w:rsidR="007222C4" w:rsidRPr="00B530BF" w:rsidRDefault="0011667C" w:rsidP="00B530BF">
            <w:pPr>
              <w:widowControl w:val="0"/>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El servicio debe iniciar el 01 de noviembre de 2024 y hasta el 30 de noviembre de 2025</w:t>
            </w:r>
            <w:r w:rsidR="0052360D" w:rsidRPr="00B530BF">
              <w:rPr>
                <w:rFonts w:ascii="Arial" w:hAnsi="Arial" w:cs="Arial"/>
                <w:color w:val="000000"/>
                <w:sz w:val="20"/>
                <w:szCs w:val="20"/>
              </w:rPr>
              <w:t>.</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Pr="00B530BF" w:rsidRDefault="007222C4" w:rsidP="00B530BF">
            <w:pPr>
              <w:widowControl w:val="0"/>
              <w:autoSpaceDE w:val="0"/>
              <w:autoSpaceDN w:val="0"/>
              <w:adjustRightInd w:val="0"/>
              <w:spacing w:line="257" w:lineRule="auto"/>
              <w:ind w:right="62"/>
              <w:rPr>
                <w:rFonts w:ascii="Arial" w:hAnsi="Arial" w:cs="Arial"/>
                <w:color w:val="000000"/>
                <w:sz w:val="20"/>
                <w:szCs w:val="20"/>
              </w:rPr>
            </w:pPr>
            <w:r w:rsidRPr="00B530BF">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10C19EAB" w:rsidR="005E68CB" w:rsidRPr="00530EFE" w:rsidRDefault="0011667C" w:rsidP="0011667C">
            <w:pPr>
              <w:pStyle w:val="Sinespaciad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 un solo licitante.</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1409F9BD"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Alta que a</w:t>
            </w:r>
            <w:r w:rsidR="00AF568C">
              <w:rPr>
                <w:rFonts w:ascii="Arial" w:hAnsi="Arial" w:cs="Arial"/>
                <w:color w:val="000000"/>
                <w:sz w:val="20"/>
                <w:szCs w:val="20"/>
                <w:lang w:eastAsia="es-MX"/>
              </w:rPr>
              <w:t xml:space="preserve">credite la debida inscripción, </w:t>
            </w:r>
            <w:r w:rsidRPr="00B84813">
              <w:rPr>
                <w:rFonts w:ascii="Arial" w:hAnsi="Arial" w:cs="Arial"/>
                <w:color w:val="000000"/>
                <w:sz w:val="20"/>
                <w:szCs w:val="20"/>
                <w:lang w:eastAsia="es-MX"/>
              </w:rPr>
              <w:t>afiliación y vigencia de derechos de los trabajadores al régimen obligatorio de seguridad social, así como encontrarse al corriente en el pago de cuotas obrero patronales o en su caso, los contratos respectivos tratándose de personal por honorarios, con an</w:t>
            </w:r>
            <w:r w:rsidR="0011667C">
              <w:rPr>
                <w:rFonts w:ascii="Arial" w:hAnsi="Arial" w:cs="Arial"/>
                <w:color w:val="000000"/>
                <w:sz w:val="20"/>
                <w:szCs w:val="20"/>
                <w:lang w:eastAsia="es-MX"/>
              </w:rPr>
              <w:t xml:space="preserve">tigüedad no mayor a </w:t>
            </w:r>
            <w:r w:rsidRPr="00B84813">
              <w:rPr>
                <w:rFonts w:ascii="Arial" w:hAnsi="Arial" w:cs="Arial"/>
                <w:color w:val="000000"/>
                <w:sz w:val="20"/>
                <w:szCs w:val="20"/>
                <w:lang w:eastAsia="es-MX"/>
              </w:rPr>
              <w:t>sesenta días naturales a partir de la fecha de su emisión.</w:t>
            </w:r>
            <w:r w:rsidR="00AF568C">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AF568C">
            <w:pPr>
              <w:spacing w:after="0"/>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AF568C">
            <w:pPr>
              <w:spacing w:after="0"/>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AF568C">
            <w:pPr>
              <w:spacing w:after="0"/>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AF568C">
            <w:pPr>
              <w:spacing w:after="0"/>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AF568C">
            <w:pPr>
              <w:spacing w:after="0"/>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AF568C">
            <w:pPr>
              <w:spacing w:after="0"/>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lastRenderedPageBreak/>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lastRenderedPageBreak/>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1D099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1D099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1D099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1D099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1D099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1D099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1D099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lastRenderedPageBreak/>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1D099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1D099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1D099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1D099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1D099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lastRenderedPageBreak/>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1D099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lastRenderedPageBreak/>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23F1CE41" w14:textId="674E81A3" w:rsidR="00FA3609"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49D03716" w14:textId="77777777" w:rsidR="009A22BB" w:rsidRPr="00721713" w:rsidRDefault="009A22BB"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Los documentos originales acompañados para cotejo, se presentarán dentro de </w:t>
      </w:r>
      <w:r w:rsidRPr="00721713">
        <w:rPr>
          <w:rFonts w:ascii="Arial" w:eastAsia="Times New Roman" w:hAnsi="Arial" w:cs="Arial"/>
          <w:color w:val="000000"/>
          <w:sz w:val="24"/>
          <w:szCs w:val="24"/>
          <w:lang w:val="es-ES" w:eastAsia="es-ES"/>
        </w:rPr>
        <w:lastRenderedPageBreak/>
        <w:t>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lastRenderedPageBreak/>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1D099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1D099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D099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1D099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lastRenderedPageBreak/>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lastRenderedPageBreak/>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1D099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lastRenderedPageBreak/>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w:t>
      </w:r>
      <w:r w:rsidR="00D25F1E" w:rsidRPr="00085C0E">
        <w:rPr>
          <w:rFonts w:ascii="Arial" w:eastAsia="Times New Roman" w:hAnsi="Arial" w:cs="Arial"/>
          <w:color w:val="000000"/>
          <w:sz w:val="24"/>
          <w:szCs w:val="24"/>
          <w:lang w:val="es-ES" w:eastAsia="es-ES"/>
        </w:rPr>
        <w:lastRenderedPageBreak/>
        <w:t>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w:t>
      </w:r>
      <w:r w:rsidRPr="00721713">
        <w:rPr>
          <w:rFonts w:ascii="Arial" w:eastAsia="Times New Roman" w:hAnsi="Arial" w:cs="Arial"/>
          <w:sz w:val="24"/>
          <w:szCs w:val="24"/>
          <w:lang w:val="es-ES" w:eastAsia="es-ES"/>
        </w:rPr>
        <w:lastRenderedPageBreak/>
        <w:t xml:space="preserve">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lastRenderedPageBreak/>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1D099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lastRenderedPageBreak/>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1D099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w:t>
      </w:r>
      <w:r w:rsidR="00D25F1E" w:rsidRPr="00284988">
        <w:rPr>
          <w:rFonts w:ascii="Arial" w:eastAsia="Times New Roman" w:hAnsi="Arial" w:cs="Arial"/>
          <w:b/>
          <w:spacing w:val="-1"/>
          <w:sz w:val="24"/>
          <w:szCs w:val="24"/>
          <w:lang w:val="es-ES" w:eastAsia="es-ES"/>
        </w:rPr>
        <w:lastRenderedPageBreak/>
        <w:t>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 xml:space="preserve">de Compras, dentro de los cinco días hábiles siguientes al de su recepción, indicará al proveedor las deficiencias que deberá corregir. El periodo que transcurra a partir de la indicación de las deficiencias y hasta que el proveedor </w:t>
      </w:r>
      <w:r w:rsidRPr="00721713">
        <w:rPr>
          <w:rFonts w:ascii="Arial" w:eastAsia="Times New Roman" w:hAnsi="Arial" w:cs="Arial"/>
          <w:color w:val="000000"/>
          <w:spacing w:val="-1"/>
          <w:sz w:val="24"/>
          <w:szCs w:val="24"/>
          <w:lang w:val="es-ES" w:eastAsia="es-ES"/>
        </w:rPr>
        <w:lastRenderedPageBreak/>
        <w:t>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 xml:space="preserve">onvocante </w:t>
      </w:r>
      <w:r w:rsidRPr="00A05111">
        <w:rPr>
          <w:rFonts w:ascii="Arial" w:eastAsia="Times New Roman" w:hAnsi="Arial" w:cs="Arial"/>
          <w:color w:val="000000"/>
          <w:spacing w:val="-1"/>
          <w:sz w:val="24"/>
          <w:szCs w:val="24"/>
          <w:lang w:val="es-ES" w:eastAsia="es-ES"/>
        </w:rPr>
        <w:lastRenderedPageBreak/>
        <w:t>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7C5B54">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18304E"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4D4E7D" w:rsidRPr="00721713" w14:paraId="05663ED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lastRenderedPageBreak/>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 xml:space="preserve">servicio en cualquier momento, sin responsabilidad para ésta, cuando se deba a causas de interés general o de orden público, tales como el destino de recursos a otros </w:t>
      </w:r>
      <w:r w:rsidRPr="00721713">
        <w:rPr>
          <w:rFonts w:ascii="Arial" w:eastAsia="Times New Roman" w:hAnsi="Arial" w:cs="Arial"/>
          <w:spacing w:val="-1"/>
          <w:sz w:val="24"/>
          <w:szCs w:val="24"/>
          <w:lang w:val="es-ES" w:eastAsia="es-ES"/>
        </w:rPr>
        <w:lastRenderedPageBreak/>
        <w:t>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Tener acceso a la información relacionada con la convocatoria, igualdad de condiciones para todos los interesados en participar y que no sean establecidos requisitos que tengan por objeto o efecto limitar el proceso de competencia y </w:t>
      </w:r>
      <w:r w:rsidRPr="00721713">
        <w:rPr>
          <w:rFonts w:ascii="Arial" w:eastAsia="Times New Roman" w:hAnsi="Arial" w:cs="Arial"/>
          <w:spacing w:val="-1"/>
          <w:sz w:val="24"/>
          <w:szCs w:val="24"/>
          <w:lang w:val="es-ES" w:eastAsia="es-ES"/>
        </w:rPr>
        <w:lastRenderedPageBreak/>
        <w:t>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w:t>
      </w:r>
      <w:r w:rsidRPr="00721713">
        <w:rPr>
          <w:rFonts w:ascii="Arial" w:eastAsia="Times New Roman" w:hAnsi="Arial" w:cs="Arial"/>
          <w:color w:val="000000"/>
          <w:sz w:val="24"/>
          <w:szCs w:val="24"/>
          <w:lang w:val="es-ES" w:eastAsia="es-ES"/>
        </w:rPr>
        <w:lastRenderedPageBreak/>
        <w:t xml:space="preserve">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1D099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1D099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1D099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1D099D">
      <w:pPr>
        <w:pStyle w:val="Prrafodelista"/>
        <w:numPr>
          <w:ilvl w:val="0"/>
          <w:numId w:val="34"/>
        </w:numPr>
        <w:spacing w:before="120"/>
        <w:jc w:val="both"/>
        <w:rPr>
          <w:rFonts w:ascii="Arial" w:hAnsi="Arial" w:cs="Arial"/>
        </w:rPr>
      </w:pPr>
      <w:r w:rsidRPr="007D5D48">
        <w:rPr>
          <w:rFonts w:ascii="Arial" w:hAnsi="Arial" w:cs="Arial"/>
        </w:rPr>
        <w:lastRenderedPageBreak/>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1D099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1D099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1D099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w:t>
      </w:r>
      <w:r>
        <w:rPr>
          <w:rFonts w:ascii="Arial" w:hAnsi="Arial" w:cs="Arial"/>
          <w:b/>
          <w:u w:val="single"/>
        </w:rPr>
        <w:lastRenderedPageBreak/>
        <w:t>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1D099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1D099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lastRenderedPageBreak/>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1D099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1D099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1D099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1D099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1D099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1D099D">
      <w:pPr>
        <w:pStyle w:val="Prrafodelista"/>
        <w:numPr>
          <w:ilvl w:val="0"/>
          <w:numId w:val="30"/>
        </w:numPr>
        <w:spacing w:before="120"/>
        <w:jc w:val="both"/>
        <w:rPr>
          <w:rFonts w:ascii="Arial" w:hAnsi="Arial" w:cs="Arial"/>
        </w:rPr>
      </w:pPr>
      <w:r w:rsidRPr="006C63A1">
        <w:rPr>
          <w:rFonts w:ascii="Arial" w:hAnsi="Arial" w:cs="Arial"/>
        </w:rPr>
        <w:lastRenderedPageBreak/>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1D099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1D099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1D099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1D099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1D099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1D099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C3E3E" w14:textId="77777777" w:rsidR="00A673A5" w:rsidRDefault="00A673A5" w:rsidP="00203087">
      <w:pPr>
        <w:spacing w:after="0" w:line="240" w:lineRule="auto"/>
      </w:pPr>
      <w:r>
        <w:separator/>
      </w:r>
    </w:p>
  </w:endnote>
  <w:endnote w:type="continuationSeparator" w:id="0">
    <w:p w14:paraId="077E4B7B" w14:textId="77777777" w:rsidR="00A673A5" w:rsidRDefault="00A673A5"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594E1F02" w:rsidR="00B530BF" w:rsidRPr="00FE3509" w:rsidRDefault="00B530BF"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5D5240">
          <w:rPr>
            <w:rFonts w:ascii="Arial" w:hAnsi="Arial" w:cs="Arial"/>
            <w:noProof/>
            <w:sz w:val="22"/>
          </w:rPr>
          <w:t>21</w:t>
        </w:r>
        <w:r w:rsidRPr="00FE3509">
          <w:rPr>
            <w:rFonts w:ascii="Arial" w:hAnsi="Arial" w:cs="Arial"/>
            <w:sz w:val="22"/>
          </w:rPr>
          <w:fldChar w:fldCharType="end"/>
        </w:r>
      </w:p>
    </w:sdtContent>
  </w:sdt>
  <w:p w14:paraId="4BD93C9F" w14:textId="77777777" w:rsidR="00B530BF" w:rsidRDefault="00B530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F209C" w14:textId="77777777" w:rsidR="00A673A5" w:rsidRDefault="00A673A5" w:rsidP="00203087">
      <w:pPr>
        <w:spacing w:after="0" w:line="240" w:lineRule="auto"/>
      </w:pPr>
      <w:r>
        <w:separator/>
      </w:r>
    </w:p>
  </w:footnote>
  <w:footnote w:type="continuationSeparator" w:id="0">
    <w:p w14:paraId="63DBE161" w14:textId="77777777" w:rsidR="00A673A5" w:rsidRDefault="00A673A5"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B874C19"/>
    <w:multiLevelType w:val="hybridMultilevel"/>
    <w:tmpl w:val="42F8A0F2"/>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2"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4"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1"/>
  </w:num>
  <w:num w:numId="2">
    <w:abstractNumId w:val="33"/>
  </w:num>
  <w:num w:numId="3">
    <w:abstractNumId w:val="13"/>
  </w:num>
  <w:num w:numId="4">
    <w:abstractNumId w:val="25"/>
  </w:num>
  <w:num w:numId="5">
    <w:abstractNumId w:val="16"/>
  </w:num>
  <w:num w:numId="6">
    <w:abstractNumId w:val="24"/>
  </w:num>
  <w:num w:numId="7">
    <w:abstractNumId w:val="8"/>
  </w:num>
  <w:num w:numId="8">
    <w:abstractNumId w:val="34"/>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5"/>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1"/>
  </w:num>
  <w:num w:numId="23">
    <w:abstractNumId w:val="37"/>
  </w:num>
  <w:num w:numId="24">
    <w:abstractNumId w:val="19"/>
  </w:num>
  <w:num w:numId="25">
    <w:abstractNumId w:val="12"/>
  </w:num>
  <w:num w:numId="26">
    <w:abstractNumId w:val="22"/>
  </w:num>
  <w:num w:numId="27">
    <w:abstractNumId w:val="36"/>
  </w:num>
  <w:num w:numId="28">
    <w:abstractNumId w:val="15"/>
  </w:num>
  <w:num w:numId="29">
    <w:abstractNumId w:val="32"/>
  </w:num>
  <w:num w:numId="30">
    <w:abstractNumId w:val="18"/>
  </w:num>
  <w:num w:numId="31">
    <w:abstractNumId w:val="26"/>
  </w:num>
  <w:num w:numId="32">
    <w:abstractNumId w:val="38"/>
  </w:num>
  <w:num w:numId="33">
    <w:abstractNumId w:val="3"/>
  </w:num>
  <w:num w:numId="34">
    <w:abstractNumId w:val="30"/>
  </w:num>
  <w:num w:numId="35">
    <w:abstractNumId w:val="29"/>
  </w:num>
  <w:num w:numId="36">
    <w:abstractNumId w:val="28"/>
  </w:num>
  <w:num w:numId="37">
    <w:abstractNumId w:val="9"/>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C5354"/>
    <w:rsid w:val="000D4B48"/>
    <w:rsid w:val="000D558B"/>
    <w:rsid w:val="000F57B7"/>
    <w:rsid w:val="00112D85"/>
    <w:rsid w:val="001153E6"/>
    <w:rsid w:val="0011667C"/>
    <w:rsid w:val="001214A0"/>
    <w:rsid w:val="00122575"/>
    <w:rsid w:val="001269C6"/>
    <w:rsid w:val="00127875"/>
    <w:rsid w:val="001611AF"/>
    <w:rsid w:val="00161382"/>
    <w:rsid w:val="00163A3F"/>
    <w:rsid w:val="001731C2"/>
    <w:rsid w:val="0018205D"/>
    <w:rsid w:val="0018304E"/>
    <w:rsid w:val="00197543"/>
    <w:rsid w:val="001A11E4"/>
    <w:rsid w:val="001A64A0"/>
    <w:rsid w:val="001D099D"/>
    <w:rsid w:val="001D3950"/>
    <w:rsid w:val="001D4611"/>
    <w:rsid w:val="00203087"/>
    <w:rsid w:val="00254B00"/>
    <w:rsid w:val="00262FA0"/>
    <w:rsid w:val="00284988"/>
    <w:rsid w:val="002A38F1"/>
    <w:rsid w:val="002A6AE2"/>
    <w:rsid w:val="002B595A"/>
    <w:rsid w:val="002C5FA3"/>
    <w:rsid w:val="002E254B"/>
    <w:rsid w:val="002F17AF"/>
    <w:rsid w:val="00310815"/>
    <w:rsid w:val="00312FA9"/>
    <w:rsid w:val="003131BB"/>
    <w:rsid w:val="00313A8C"/>
    <w:rsid w:val="00366F11"/>
    <w:rsid w:val="00372372"/>
    <w:rsid w:val="00396B21"/>
    <w:rsid w:val="00397416"/>
    <w:rsid w:val="003A4CD2"/>
    <w:rsid w:val="003C2BA9"/>
    <w:rsid w:val="003D1522"/>
    <w:rsid w:val="003D4281"/>
    <w:rsid w:val="003E60EE"/>
    <w:rsid w:val="003E79FB"/>
    <w:rsid w:val="00403C45"/>
    <w:rsid w:val="0040494E"/>
    <w:rsid w:val="00416643"/>
    <w:rsid w:val="00445162"/>
    <w:rsid w:val="00460114"/>
    <w:rsid w:val="00461068"/>
    <w:rsid w:val="0046403C"/>
    <w:rsid w:val="004738FA"/>
    <w:rsid w:val="0048188E"/>
    <w:rsid w:val="004962BC"/>
    <w:rsid w:val="004A05C0"/>
    <w:rsid w:val="004A5E2B"/>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6427E"/>
    <w:rsid w:val="005672D9"/>
    <w:rsid w:val="005837E8"/>
    <w:rsid w:val="005A2ECD"/>
    <w:rsid w:val="005B33D1"/>
    <w:rsid w:val="005C6643"/>
    <w:rsid w:val="005D5240"/>
    <w:rsid w:val="005E3F48"/>
    <w:rsid w:val="005E604F"/>
    <w:rsid w:val="005E68CB"/>
    <w:rsid w:val="005F25C2"/>
    <w:rsid w:val="00601E4F"/>
    <w:rsid w:val="00601E84"/>
    <w:rsid w:val="006038D7"/>
    <w:rsid w:val="00614569"/>
    <w:rsid w:val="006309FC"/>
    <w:rsid w:val="00631A6B"/>
    <w:rsid w:val="00636D57"/>
    <w:rsid w:val="0065421E"/>
    <w:rsid w:val="0066148C"/>
    <w:rsid w:val="006666A9"/>
    <w:rsid w:val="00667808"/>
    <w:rsid w:val="00674896"/>
    <w:rsid w:val="00675522"/>
    <w:rsid w:val="00682811"/>
    <w:rsid w:val="00684A98"/>
    <w:rsid w:val="00687A82"/>
    <w:rsid w:val="006975BC"/>
    <w:rsid w:val="006A58DB"/>
    <w:rsid w:val="006B0A1A"/>
    <w:rsid w:val="006B518E"/>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E76B6"/>
    <w:rsid w:val="007F1F46"/>
    <w:rsid w:val="00804C05"/>
    <w:rsid w:val="00806C64"/>
    <w:rsid w:val="0080746F"/>
    <w:rsid w:val="00807F62"/>
    <w:rsid w:val="008211BD"/>
    <w:rsid w:val="008244D2"/>
    <w:rsid w:val="00846876"/>
    <w:rsid w:val="00867A7C"/>
    <w:rsid w:val="00886770"/>
    <w:rsid w:val="008918D7"/>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7118D"/>
    <w:rsid w:val="00986BBC"/>
    <w:rsid w:val="0099555A"/>
    <w:rsid w:val="00996F01"/>
    <w:rsid w:val="009A22BB"/>
    <w:rsid w:val="009B0C4B"/>
    <w:rsid w:val="009B16AF"/>
    <w:rsid w:val="009B34D5"/>
    <w:rsid w:val="009B7AD7"/>
    <w:rsid w:val="009C248B"/>
    <w:rsid w:val="009E15A4"/>
    <w:rsid w:val="009E7AA9"/>
    <w:rsid w:val="00A05111"/>
    <w:rsid w:val="00A139C7"/>
    <w:rsid w:val="00A177DB"/>
    <w:rsid w:val="00A21DF9"/>
    <w:rsid w:val="00A34F2B"/>
    <w:rsid w:val="00A44827"/>
    <w:rsid w:val="00A45D71"/>
    <w:rsid w:val="00A543A8"/>
    <w:rsid w:val="00A673A5"/>
    <w:rsid w:val="00A7179D"/>
    <w:rsid w:val="00A77E90"/>
    <w:rsid w:val="00A80157"/>
    <w:rsid w:val="00AA1349"/>
    <w:rsid w:val="00AB5F9A"/>
    <w:rsid w:val="00AC2910"/>
    <w:rsid w:val="00AE49D1"/>
    <w:rsid w:val="00AF568C"/>
    <w:rsid w:val="00B019CE"/>
    <w:rsid w:val="00B03113"/>
    <w:rsid w:val="00B048CA"/>
    <w:rsid w:val="00B052A5"/>
    <w:rsid w:val="00B21002"/>
    <w:rsid w:val="00B33783"/>
    <w:rsid w:val="00B43F01"/>
    <w:rsid w:val="00B530BF"/>
    <w:rsid w:val="00B7089A"/>
    <w:rsid w:val="00B77B84"/>
    <w:rsid w:val="00B84813"/>
    <w:rsid w:val="00BA18C5"/>
    <w:rsid w:val="00BA5F47"/>
    <w:rsid w:val="00BB4ECD"/>
    <w:rsid w:val="00BF6CAE"/>
    <w:rsid w:val="00C17491"/>
    <w:rsid w:val="00C17719"/>
    <w:rsid w:val="00C32784"/>
    <w:rsid w:val="00C36A1D"/>
    <w:rsid w:val="00C432A8"/>
    <w:rsid w:val="00C5034E"/>
    <w:rsid w:val="00C52726"/>
    <w:rsid w:val="00C544EB"/>
    <w:rsid w:val="00C678FA"/>
    <w:rsid w:val="00C728CB"/>
    <w:rsid w:val="00C735D6"/>
    <w:rsid w:val="00C83F55"/>
    <w:rsid w:val="00C97CB8"/>
    <w:rsid w:val="00CB1097"/>
    <w:rsid w:val="00CE5329"/>
    <w:rsid w:val="00D051D5"/>
    <w:rsid w:val="00D05811"/>
    <w:rsid w:val="00D122E3"/>
    <w:rsid w:val="00D237C0"/>
    <w:rsid w:val="00D25F1E"/>
    <w:rsid w:val="00D3650B"/>
    <w:rsid w:val="00D43AF5"/>
    <w:rsid w:val="00D45302"/>
    <w:rsid w:val="00D55C57"/>
    <w:rsid w:val="00D57DA5"/>
    <w:rsid w:val="00D60A7C"/>
    <w:rsid w:val="00D64C21"/>
    <w:rsid w:val="00D73BA5"/>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31DCD"/>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28ED9-A6F8-49E7-A45B-0603B1F5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49</Pages>
  <Words>17784</Words>
  <Characters>97814</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59</cp:revision>
  <cp:lastPrinted>2023-11-29T19:52:00Z</cp:lastPrinted>
  <dcterms:created xsi:type="dcterms:W3CDTF">2023-09-07T15:41:00Z</dcterms:created>
  <dcterms:modified xsi:type="dcterms:W3CDTF">2024-08-07T20:11:00Z</dcterms:modified>
</cp:coreProperties>
</file>