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5FCA09E7" w:rsidR="00E87FCF" w:rsidRPr="00743E28" w:rsidRDefault="00061BB1" w:rsidP="00C36A1D">
            <w:pPr>
              <w:rPr>
                <w:rFonts w:ascii="Arial" w:hAnsi="Arial" w:cs="Arial"/>
                <w:sz w:val="20"/>
                <w:szCs w:val="20"/>
              </w:rPr>
            </w:pPr>
            <w:r w:rsidRPr="00743E28">
              <w:rPr>
                <w:rFonts w:ascii="Arial" w:hAnsi="Arial" w:cs="Arial"/>
                <w:sz w:val="20"/>
                <w:szCs w:val="20"/>
              </w:rPr>
              <w:t>LP-</w:t>
            </w:r>
            <w:r w:rsidR="005A37E6">
              <w:rPr>
                <w:rFonts w:ascii="Arial" w:hAnsi="Arial" w:cs="Arial"/>
                <w:sz w:val="20"/>
                <w:szCs w:val="20"/>
              </w:rPr>
              <w:t>SC-013</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586D43">
              <w:rPr>
                <w:rFonts w:ascii="Arial" w:hAnsi="Arial" w:cs="Arial"/>
                <w:sz w:val="20"/>
                <w:szCs w:val="20"/>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01553DC6" w:rsidR="00E87FCF" w:rsidRPr="00C36A1D" w:rsidRDefault="007C0F3D" w:rsidP="007C0F3D">
            <w:pPr>
              <w:rPr>
                <w:rFonts w:ascii="Arial" w:hAnsi="Arial" w:cs="Arial"/>
                <w:sz w:val="20"/>
                <w:szCs w:val="20"/>
              </w:rPr>
            </w:pPr>
            <w:r>
              <w:rPr>
                <w:rFonts w:ascii="Arial" w:hAnsi="Arial" w:cs="Arial"/>
                <w:sz w:val="20"/>
                <w:szCs w:val="20"/>
              </w:rPr>
              <w:t>Contratación de póliza de seguro de daños para bienes muebles e inmuebles de la ASEJ</w:t>
            </w:r>
            <w:r w:rsidR="005A37E6">
              <w:rPr>
                <w:rFonts w:ascii="Arial" w:hAnsi="Arial" w:cs="Arial"/>
                <w:sz w:val="20"/>
                <w:szCs w:val="20"/>
              </w:rPr>
              <w:t>.</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124F06A6" w:rsidR="00E87FCF" w:rsidRPr="00D64C21" w:rsidRDefault="00AC353A" w:rsidP="00F9166E">
            <w:pPr>
              <w:rPr>
                <w:rFonts w:ascii="Arial" w:hAnsi="Arial" w:cs="Arial"/>
                <w:sz w:val="20"/>
                <w:szCs w:val="20"/>
              </w:rPr>
            </w:pPr>
            <w:r>
              <w:rPr>
                <w:rFonts w:ascii="Arial" w:hAnsi="Arial" w:cs="Arial"/>
                <w:sz w:val="20"/>
                <w:szCs w:val="20"/>
              </w:rPr>
              <w:t>S</w:t>
            </w:r>
            <w:r w:rsidR="007C0F3D">
              <w:rPr>
                <w:rFonts w:ascii="Arial" w:hAnsi="Arial" w:cs="Arial"/>
                <w:sz w:val="20"/>
                <w:szCs w:val="20"/>
              </w:rPr>
              <w:t>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7BCB59F5" w:rsidR="005672D9" w:rsidRPr="00F93013" w:rsidRDefault="00EB2361" w:rsidP="005A37E6">
            <w:pPr>
              <w:rPr>
                <w:rFonts w:ascii="Arial" w:hAnsi="Arial" w:cs="Arial"/>
                <w:sz w:val="20"/>
                <w:szCs w:val="20"/>
              </w:rPr>
            </w:pPr>
            <w:r w:rsidRPr="00F93013">
              <w:rPr>
                <w:rFonts w:ascii="Arial" w:hAnsi="Arial" w:cs="Arial"/>
                <w:sz w:val="20"/>
                <w:szCs w:val="20"/>
              </w:rPr>
              <w:t>$</w:t>
            </w:r>
            <w:r w:rsidR="005A37E6">
              <w:rPr>
                <w:rFonts w:ascii="Arial" w:hAnsi="Arial" w:cs="Arial"/>
                <w:sz w:val="20"/>
                <w:szCs w:val="20"/>
              </w:rPr>
              <w:t>959</w:t>
            </w:r>
            <w:r w:rsidR="00C432A8">
              <w:rPr>
                <w:rFonts w:ascii="Arial" w:hAnsi="Arial" w:cs="Arial"/>
                <w:sz w:val="20"/>
                <w:szCs w:val="20"/>
              </w:rPr>
              <w:t>,000.00</w:t>
            </w:r>
            <w:r w:rsidR="006B0A1A" w:rsidRPr="00F93013">
              <w:rPr>
                <w:rFonts w:ascii="Arial" w:hAnsi="Arial" w:cs="Arial"/>
                <w:sz w:val="20"/>
                <w:szCs w:val="20"/>
              </w:rPr>
              <w:t xml:space="preserve"> </w:t>
            </w:r>
            <w:r w:rsidR="005A37E6">
              <w:rPr>
                <w:rFonts w:ascii="Arial" w:hAnsi="Arial" w:cs="Arial"/>
                <w:sz w:val="20"/>
                <w:szCs w:val="20"/>
              </w:rPr>
              <w:t>m. n.</w:t>
            </w:r>
            <w:r w:rsidR="00F875B6" w:rsidRPr="00F93013">
              <w:rPr>
                <w:rFonts w:ascii="Arial" w:hAnsi="Arial" w:cs="Arial"/>
                <w:sz w:val="20"/>
                <w:szCs w:val="20"/>
              </w:rPr>
              <w:t xml:space="preserve"> </w:t>
            </w:r>
            <w:r w:rsidR="00061BB1" w:rsidRPr="00F93013">
              <w:rPr>
                <w:rFonts w:ascii="Arial" w:hAnsi="Arial" w:cs="Arial"/>
                <w:sz w:val="20"/>
                <w:szCs w:val="20"/>
              </w:rPr>
              <w:t>(</w:t>
            </w:r>
            <w:r w:rsidR="005A37E6">
              <w:rPr>
                <w:rFonts w:ascii="Arial" w:hAnsi="Arial" w:cs="Arial"/>
                <w:sz w:val="20"/>
                <w:szCs w:val="20"/>
              </w:rPr>
              <w:t>novecientos cincuenta y nueve mil</w:t>
            </w:r>
            <w:r w:rsidR="00C432A8">
              <w:rPr>
                <w:rFonts w:ascii="Arial" w:hAnsi="Arial" w:cs="Arial"/>
                <w:sz w:val="20"/>
                <w:szCs w:val="20"/>
              </w:rPr>
              <w:t xml:space="preserve">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23A1836D" w:rsidR="00A543A8" w:rsidRDefault="00A543A8" w:rsidP="00C735D6">
      <w:pPr>
        <w:jc w:val="center"/>
        <w:rPr>
          <w:rFonts w:ascii="Arial" w:hAnsi="Arial" w:cs="Arial"/>
          <w:b/>
          <w:sz w:val="24"/>
          <w:szCs w:val="24"/>
        </w:rPr>
      </w:pPr>
    </w:p>
    <w:p w14:paraId="063BB642" w14:textId="77777777" w:rsidR="007C0F3D" w:rsidRDefault="007C0F3D" w:rsidP="00C735D6">
      <w:pPr>
        <w:jc w:val="cente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586D43"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586D43"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586D43"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586D43"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586D43"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586D43"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586D43">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586D43"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586D43">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586D43">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586D43">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586D43">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586D43">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586D43">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586D43">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586D43"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586D43">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586D43">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586D43"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586D43"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586D43"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586D43"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586D43"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586D43"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586D43"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586D43"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586D43"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586D43"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586D43"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586D43"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586D43"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586D43"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586D43"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586D43"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586D43"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586D43"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586D43">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586D43">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586D43">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586D43">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586D43">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586D43">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586D43">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586D43"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586D43">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586D43"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586D43"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586D43"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586D43"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586D43"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586D43"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586D43"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586D43"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586D43"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586D43"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006F5CFB" w:rsidR="00E87FCF" w:rsidRPr="00FA3609" w:rsidRDefault="00586D43" w:rsidP="009F6701">
            <w:pPr>
              <w:jc w:val="both"/>
              <w:rPr>
                <w:rFonts w:ascii="Arial" w:hAnsi="Arial" w:cs="Arial"/>
                <w:sz w:val="20"/>
                <w:szCs w:val="20"/>
              </w:rPr>
            </w:pPr>
            <w:r>
              <w:rPr>
                <w:rFonts w:ascii="Arial" w:hAnsi="Arial" w:cs="Arial"/>
                <w:sz w:val="20"/>
                <w:szCs w:val="20"/>
              </w:rPr>
              <w:t>26</w:t>
            </w:r>
            <w:r w:rsidR="004E4940" w:rsidRPr="00FA3609">
              <w:rPr>
                <w:rFonts w:ascii="Arial" w:hAnsi="Arial" w:cs="Arial"/>
                <w:sz w:val="20"/>
                <w:szCs w:val="20"/>
              </w:rPr>
              <w:t xml:space="preserve"> de </w:t>
            </w:r>
            <w:r>
              <w:rPr>
                <w:rFonts w:ascii="Arial" w:hAnsi="Arial" w:cs="Arial"/>
                <w:sz w:val="20"/>
                <w:szCs w:val="20"/>
              </w:rPr>
              <w:t>agosto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586D43"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535ED" w:rsidRPr="009E15A4" w14:paraId="717E1D99" w14:textId="77777777" w:rsidTr="00FA3609">
        <w:trPr>
          <w:trHeight w:val="920"/>
        </w:trPr>
        <w:tc>
          <w:tcPr>
            <w:tcW w:w="562" w:type="dxa"/>
            <w:shd w:val="clear" w:color="auto" w:fill="BFBFBF" w:themeFill="background1" w:themeFillShade="BF"/>
            <w:vAlign w:val="center"/>
          </w:tcPr>
          <w:p w14:paraId="4A1D66A2" w14:textId="2B43CFC3" w:rsidR="001535ED" w:rsidRPr="009E15A4" w:rsidRDefault="001535ED"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1535ED" w:rsidRPr="009E15A4" w:rsidRDefault="001535ED" w:rsidP="00886770">
            <w:pPr>
              <w:rPr>
                <w:rFonts w:ascii="Arial" w:hAnsi="Arial" w:cs="Arial"/>
                <w:sz w:val="20"/>
                <w:szCs w:val="20"/>
              </w:rPr>
            </w:pPr>
            <w:r>
              <w:rPr>
                <w:rFonts w:ascii="Arial" w:hAnsi="Arial" w:cs="Arial"/>
                <w:sz w:val="20"/>
                <w:szCs w:val="20"/>
              </w:rPr>
              <w:t>Visita guiada</w:t>
            </w:r>
          </w:p>
        </w:tc>
        <w:tc>
          <w:tcPr>
            <w:tcW w:w="2126" w:type="dxa"/>
            <w:shd w:val="clear" w:color="auto" w:fill="auto"/>
            <w:vAlign w:val="center"/>
          </w:tcPr>
          <w:p w14:paraId="78543EA7" w14:textId="2F834581" w:rsidR="001535ED" w:rsidRDefault="00586D43" w:rsidP="009F6701">
            <w:pPr>
              <w:jc w:val="both"/>
              <w:rPr>
                <w:rFonts w:ascii="Arial" w:hAnsi="Arial" w:cs="Arial"/>
                <w:sz w:val="20"/>
                <w:szCs w:val="20"/>
              </w:rPr>
            </w:pPr>
            <w:r>
              <w:rPr>
                <w:rFonts w:ascii="Arial" w:hAnsi="Arial" w:cs="Arial"/>
                <w:sz w:val="20"/>
                <w:szCs w:val="20"/>
              </w:rPr>
              <w:t>27</w:t>
            </w:r>
            <w:r w:rsidR="001535ED">
              <w:rPr>
                <w:rFonts w:ascii="Arial" w:hAnsi="Arial" w:cs="Arial"/>
                <w:sz w:val="20"/>
                <w:szCs w:val="20"/>
              </w:rPr>
              <w:t xml:space="preserve"> de agosto de 2024</w:t>
            </w:r>
          </w:p>
        </w:tc>
        <w:tc>
          <w:tcPr>
            <w:tcW w:w="2410" w:type="dxa"/>
            <w:shd w:val="clear" w:color="auto" w:fill="auto"/>
            <w:vAlign w:val="center"/>
          </w:tcPr>
          <w:p w14:paraId="52F486F3" w14:textId="1C5014EA" w:rsidR="001535ED" w:rsidRPr="00FA3609" w:rsidRDefault="001535ED" w:rsidP="001535ED">
            <w:pPr>
              <w:jc w:val="center"/>
              <w:rPr>
                <w:rFonts w:ascii="Arial" w:hAnsi="Arial" w:cs="Arial"/>
                <w:sz w:val="20"/>
                <w:szCs w:val="20"/>
              </w:rPr>
            </w:pPr>
            <w:r>
              <w:rPr>
                <w:rFonts w:ascii="Arial" w:hAnsi="Arial" w:cs="Arial"/>
                <w:sz w:val="20"/>
                <w:szCs w:val="20"/>
              </w:rPr>
              <w:t>11:00 horas</w:t>
            </w:r>
          </w:p>
        </w:tc>
        <w:tc>
          <w:tcPr>
            <w:tcW w:w="1559" w:type="dxa"/>
            <w:vAlign w:val="center"/>
          </w:tcPr>
          <w:p w14:paraId="09EA02E7" w14:textId="0617EFD2" w:rsidR="001535ED" w:rsidRPr="009E15A4" w:rsidRDefault="001535ED"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07464341" w:rsidR="00886770" w:rsidRPr="009E15A4" w:rsidRDefault="00586D43" w:rsidP="001535ED">
            <w:pPr>
              <w:jc w:val="both"/>
              <w:rPr>
                <w:rFonts w:ascii="Arial" w:hAnsi="Arial" w:cs="Arial"/>
                <w:sz w:val="20"/>
                <w:szCs w:val="20"/>
              </w:rPr>
            </w:pPr>
            <w:r>
              <w:rPr>
                <w:rFonts w:ascii="Arial" w:hAnsi="Arial" w:cs="Arial"/>
                <w:sz w:val="20"/>
                <w:szCs w:val="20"/>
              </w:rPr>
              <w:t>29</w:t>
            </w:r>
            <w:r w:rsidR="009F6701">
              <w:rPr>
                <w:rFonts w:ascii="Arial" w:hAnsi="Arial" w:cs="Arial"/>
                <w:sz w:val="20"/>
                <w:szCs w:val="20"/>
              </w:rPr>
              <w:t xml:space="preserve"> de agosto</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1221EF29"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586D43">
              <w:rPr>
                <w:rFonts w:ascii="Arial" w:hAnsi="Arial" w:cs="Arial"/>
                <w:sz w:val="20"/>
                <w:szCs w:val="20"/>
              </w:rPr>
              <w:t>0</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563EA7CB" w:rsidR="00886770" w:rsidRPr="00FA3609" w:rsidRDefault="009F6701" w:rsidP="001535ED">
            <w:pPr>
              <w:jc w:val="both"/>
              <w:rPr>
                <w:rFonts w:ascii="Arial" w:hAnsi="Arial" w:cs="Arial"/>
                <w:sz w:val="20"/>
                <w:szCs w:val="20"/>
              </w:rPr>
            </w:pPr>
            <w:r>
              <w:rPr>
                <w:rFonts w:ascii="Arial" w:hAnsi="Arial" w:cs="Arial"/>
                <w:sz w:val="20"/>
                <w:szCs w:val="20"/>
              </w:rPr>
              <w:t>0</w:t>
            </w:r>
            <w:r w:rsidR="00586D43">
              <w:rPr>
                <w:rFonts w:ascii="Arial" w:hAnsi="Arial" w:cs="Arial"/>
                <w:sz w:val="20"/>
                <w:szCs w:val="20"/>
              </w:rPr>
              <w:t>2 de septiembre</w:t>
            </w:r>
            <w:r>
              <w:rPr>
                <w:rFonts w:ascii="Arial" w:hAnsi="Arial" w:cs="Arial"/>
                <w:sz w:val="20"/>
                <w:szCs w:val="20"/>
              </w:rPr>
              <w:t xml:space="preserve"> </w:t>
            </w:r>
            <w:r w:rsidR="00B03113" w:rsidRPr="00FA3609">
              <w:rPr>
                <w:rFonts w:ascii="Arial" w:hAnsi="Arial" w:cs="Arial"/>
                <w:sz w:val="20"/>
                <w:szCs w:val="20"/>
              </w:rPr>
              <w:t>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670AC3FF" w:rsidR="00886770" w:rsidRPr="009E15A4" w:rsidRDefault="00586D43" w:rsidP="001535ED">
            <w:pPr>
              <w:jc w:val="both"/>
              <w:rPr>
                <w:rFonts w:ascii="Arial" w:hAnsi="Arial" w:cs="Arial"/>
                <w:sz w:val="20"/>
                <w:szCs w:val="20"/>
              </w:rPr>
            </w:pPr>
            <w:r>
              <w:rPr>
                <w:rFonts w:ascii="Arial" w:hAnsi="Arial" w:cs="Arial"/>
                <w:sz w:val="20"/>
                <w:szCs w:val="20"/>
              </w:rPr>
              <w:t>06 de septiembre</w:t>
            </w:r>
            <w:bookmarkStart w:id="2" w:name="_GoBack"/>
            <w:bookmarkEnd w:id="2"/>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074507E8" w:rsidR="00886770" w:rsidRPr="009E15A4" w:rsidRDefault="00EB79B5" w:rsidP="009F6701">
            <w:pPr>
              <w:ind w:left="708"/>
              <w:jc w:val="both"/>
              <w:rPr>
                <w:rFonts w:ascii="Arial" w:hAnsi="Arial" w:cs="Arial"/>
                <w:sz w:val="20"/>
                <w:szCs w:val="20"/>
              </w:rPr>
            </w:pPr>
            <w:r>
              <w:rPr>
                <w:rFonts w:ascii="Arial" w:hAnsi="Arial" w:cs="Arial"/>
                <w:sz w:val="20"/>
                <w:szCs w:val="20"/>
              </w:rPr>
              <w:t>1</w:t>
            </w:r>
            <w:r w:rsidR="009F6701">
              <w:rPr>
                <w:rFonts w:ascii="Arial" w:hAnsi="Arial" w:cs="Arial"/>
                <w:sz w:val="20"/>
                <w:szCs w:val="20"/>
              </w:rPr>
              <w:t>1</w:t>
            </w:r>
            <w:r>
              <w:rPr>
                <w:rFonts w:ascii="Arial" w:hAnsi="Arial" w:cs="Arial"/>
                <w:sz w:val="20"/>
                <w:szCs w:val="20"/>
              </w:rPr>
              <w:t>:</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64D7285E" w14:textId="5FC9A2BB" w:rsidR="00F9166E" w:rsidRPr="00F9166E" w:rsidRDefault="009F6701" w:rsidP="00DE0E6D">
            <w:pPr>
              <w:pStyle w:val="Sinespaciado"/>
              <w:numPr>
                <w:ilvl w:val="0"/>
                <w:numId w:val="38"/>
              </w:numPr>
              <w:jc w:val="both"/>
              <w:rPr>
                <w:rFonts w:ascii="Arial" w:hAnsi="Arial" w:cs="Arial"/>
                <w:b/>
                <w:color w:val="000000"/>
                <w:sz w:val="20"/>
                <w:szCs w:val="20"/>
              </w:rPr>
            </w:pPr>
            <w:r w:rsidRPr="009F6701">
              <w:rPr>
                <w:rFonts w:ascii="Arial" w:hAnsi="Arial" w:cs="Arial"/>
                <w:bCs/>
                <w:sz w:val="20"/>
                <w:szCs w:val="16"/>
              </w:rPr>
              <w:t xml:space="preserve">Contratación de </w:t>
            </w:r>
            <w:r>
              <w:rPr>
                <w:rFonts w:ascii="Arial" w:hAnsi="Arial" w:cs="Arial"/>
                <w:bCs/>
                <w:sz w:val="20"/>
                <w:szCs w:val="16"/>
              </w:rPr>
              <w:t xml:space="preserve">póliza de seguro de daños para </w:t>
            </w:r>
            <w:r w:rsidRPr="009F6701">
              <w:rPr>
                <w:rFonts w:ascii="Arial" w:hAnsi="Arial" w:cs="Arial"/>
                <w:bCs/>
                <w:sz w:val="20"/>
                <w:szCs w:val="16"/>
              </w:rPr>
              <w:t xml:space="preserve"> bienes muebles e inmuebles de la ASEJ.</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751A4AF5" w14:textId="77777777" w:rsidR="00F9166E" w:rsidRDefault="00FA3609" w:rsidP="00B77C06">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p w14:paraId="24DFD155" w14:textId="5F9254AF" w:rsidR="00DE0E6D" w:rsidRPr="00FA3609" w:rsidRDefault="00DE0E6D" w:rsidP="00B77C06">
            <w:pPr>
              <w:pStyle w:val="Sinespaciado"/>
              <w:numPr>
                <w:ilvl w:val="0"/>
                <w:numId w:val="39"/>
              </w:numPr>
              <w:jc w:val="both"/>
              <w:rPr>
                <w:rFonts w:ascii="Arial" w:hAnsi="Arial" w:cs="Arial"/>
                <w:b/>
                <w:color w:val="000000"/>
                <w:sz w:val="20"/>
                <w:szCs w:val="20"/>
              </w:rPr>
            </w:pPr>
            <w:r w:rsidRPr="00DE0E6D">
              <w:rPr>
                <w:rFonts w:ascii="Arial" w:hAnsi="Arial" w:cs="Arial"/>
                <w:sz w:val="20"/>
                <w:szCs w:val="20"/>
                <w:lang w:val="es-ES"/>
              </w:rPr>
              <w:t>Los deducibles se pagarán únicamente a la aseguradora.</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4DB0BB49" w:rsidR="007222C4" w:rsidRPr="007222C4" w:rsidRDefault="007C0F3D" w:rsidP="00AC353A">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 xml:space="preserve">A más tardar a </w:t>
            </w:r>
            <w:r w:rsidR="00B77C06">
              <w:rPr>
                <w:rFonts w:ascii="Arial" w:hAnsi="Arial" w:cs="Arial"/>
                <w:color w:val="000000"/>
                <w:sz w:val="20"/>
                <w:szCs w:val="20"/>
              </w:rPr>
              <w:t>las</w:t>
            </w:r>
            <w:r w:rsidR="009F6701" w:rsidRPr="009F6701">
              <w:rPr>
                <w:rFonts w:ascii="Arial" w:hAnsi="Arial" w:cs="Arial"/>
                <w:color w:val="000000"/>
                <w:sz w:val="20"/>
                <w:szCs w:val="20"/>
              </w:rPr>
              <w:t xml:space="preserve"> 12:00</w:t>
            </w:r>
            <w:r w:rsidR="00B77C06">
              <w:rPr>
                <w:rFonts w:ascii="Arial" w:hAnsi="Arial" w:cs="Arial"/>
                <w:color w:val="000000"/>
                <w:sz w:val="20"/>
                <w:szCs w:val="20"/>
              </w:rPr>
              <w:t xml:space="preserve"> horas</w:t>
            </w:r>
            <w:r w:rsidR="009F6701" w:rsidRPr="009F6701">
              <w:rPr>
                <w:rFonts w:ascii="Arial" w:hAnsi="Arial" w:cs="Arial"/>
                <w:color w:val="000000"/>
                <w:sz w:val="20"/>
                <w:szCs w:val="20"/>
              </w:rPr>
              <w:t xml:space="preserve"> </w:t>
            </w:r>
            <w:r w:rsidR="00B77C06">
              <w:rPr>
                <w:rFonts w:ascii="Arial" w:hAnsi="Arial" w:cs="Arial"/>
                <w:color w:val="000000"/>
                <w:sz w:val="20"/>
                <w:szCs w:val="20"/>
              </w:rPr>
              <w:t>d</w:t>
            </w:r>
            <w:r w:rsidR="009F6701" w:rsidRPr="009F6701">
              <w:rPr>
                <w:rFonts w:ascii="Arial" w:hAnsi="Arial" w:cs="Arial"/>
                <w:color w:val="000000"/>
                <w:sz w:val="20"/>
                <w:szCs w:val="20"/>
              </w:rPr>
              <w:t>el 31 de octubre del 2024</w:t>
            </w:r>
            <w:r w:rsidR="00AC353A">
              <w:rPr>
                <w:rFonts w:ascii="Arial" w:hAnsi="Arial" w:cs="Arial"/>
                <w:color w:val="000000"/>
                <w:sz w:val="20"/>
                <w:szCs w:val="20"/>
              </w:rPr>
              <w:t>.</w:t>
            </w:r>
            <w:r w:rsidR="009F6701" w:rsidRPr="009F6701">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56D755B3"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proofErr w:type="gramStart"/>
            <w:r w:rsidRPr="00B84813">
              <w:rPr>
                <w:rFonts w:ascii="Arial" w:hAnsi="Arial" w:cs="Arial"/>
                <w:color w:val="000000"/>
                <w:sz w:val="20"/>
                <w:szCs w:val="20"/>
                <w:lang w:eastAsia="es-MX"/>
              </w:rPr>
              <w:t>inscripción,  afiliación</w:t>
            </w:r>
            <w:proofErr w:type="gramEnd"/>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r w:rsidR="007A0FEB">
              <w:rPr>
                <w:rFonts w:ascii="Arial" w:hAnsi="Arial" w:cs="Arial"/>
                <w:color w:val="000000"/>
                <w:sz w:val="20"/>
                <w:szCs w:val="20"/>
                <w:lang w:eastAsia="es-MX"/>
              </w:rPr>
              <w:t xml:space="preserve"> En caso de </w:t>
            </w:r>
            <w:r w:rsidR="007A0FEB">
              <w:rPr>
                <w:rFonts w:ascii="Arial" w:hAnsi="Arial" w:cs="Arial"/>
                <w:color w:val="000000"/>
                <w:sz w:val="20"/>
                <w:szCs w:val="20"/>
                <w:lang w:eastAsia="es-MX"/>
              </w:rPr>
              <w:lastRenderedPageBreak/>
              <w:t>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w:t>
      </w:r>
      <w:r w:rsidR="00B43F01" w:rsidRPr="00B84813">
        <w:rPr>
          <w:rFonts w:ascii="Arial" w:hAnsi="Arial" w:cs="Arial"/>
          <w:color w:val="000000"/>
          <w:spacing w:val="-3"/>
        </w:rPr>
        <w:lastRenderedPageBreak/>
        <w:t xml:space="preserve">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w:t>
      </w:r>
      <w:r w:rsidRPr="00B84813">
        <w:rPr>
          <w:rFonts w:ascii="Arial" w:hAnsi="Arial" w:cs="Arial"/>
          <w:color w:val="000000"/>
          <w:spacing w:val="-3"/>
          <w:sz w:val="24"/>
          <w:szCs w:val="24"/>
        </w:rPr>
        <w:lastRenderedPageBreak/>
        <w:t>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 xml:space="preserve">MANIFIESTO DE CUMPLIMIENTO DE OBLIGACIONES EN MATERIA DE </w:t>
      </w:r>
      <w:r w:rsidR="00445162" w:rsidRPr="001214A0">
        <w:rPr>
          <w:rFonts w:ascii="Arial" w:hAnsi="Arial" w:cs="Arial"/>
          <w:b/>
          <w:sz w:val="24"/>
          <w:szCs w:val="24"/>
        </w:rPr>
        <w:lastRenderedPageBreak/>
        <w:t>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lastRenderedPageBreak/>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lastRenderedPageBreak/>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lastRenderedPageBreak/>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z w:val="24"/>
          <w:szCs w:val="24"/>
          <w:lang w:val="es-ES" w:eastAsia="es-ES"/>
        </w:rPr>
        <w:lastRenderedPageBreak/>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lastRenderedPageBreak/>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lastRenderedPageBreak/>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4371B0DC" w14:textId="77777777" w:rsidR="00CE6334" w:rsidRPr="00CE6334" w:rsidRDefault="00CE6334" w:rsidP="00CE6334">
      <w:pPr>
        <w:pStyle w:val="Prrafodelista"/>
        <w:rPr>
          <w:rFonts w:ascii="Arial" w:hAnsi="Arial" w:cs="Arial"/>
          <w:color w:val="000000"/>
        </w:rPr>
      </w:pPr>
    </w:p>
    <w:p w14:paraId="132E9B35" w14:textId="2DDCE76C" w:rsidR="00CE6334" w:rsidRPr="00CE6334" w:rsidRDefault="00CE6334" w:rsidP="00DE0E6D">
      <w:pPr>
        <w:pStyle w:val="Prrafodelista"/>
        <w:widowControl w:val="0"/>
        <w:numPr>
          <w:ilvl w:val="0"/>
          <w:numId w:val="27"/>
        </w:numPr>
        <w:autoSpaceDE w:val="0"/>
        <w:autoSpaceDN w:val="0"/>
        <w:adjustRightInd w:val="0"/>
        <w:ind w:right="69"/>
        <w:jc w:val="both"/>
        <w:rPr>
          <w:rFonts w:ascii="Arial" w:hAnsi="Arial" w:cs="Arial"/>
          <w:color w:val="000000"/>
        </w:rPr>
      </w:pPr>
      <w:r>
        <w:rPr>
          <w:rFonts w:ascii="Arial" w:hAnsi="Arial" w:cs="Arial"/>
          <w:color w:val="000000"/>
        </w:rPr>
        <w:t xml:space="preserve">En caso de no aplicar lo dispuesto en el inciso que antecede, las penas convencionales serán sobre el precio pactado en el contrato, de conformidad con el artículo 107 del Reglamento de la Ley. </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23E77543" w:rsidR="00D25F1E"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018A4C15" w14:textId="1EFE9E95" w:rsidR="000E67B2" w:rsidRDefault="000E67B2"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p>
    <w:p w14:paraId="6EA26D8A" w14:textId="77777777" w:rsidR="000E67B2" w:rsidRPr="000E67B2" w:rsidRDefault="000E67B2" w:rsidP="000E67B2">
      <w:pPr>
        <w:widowControl w:val="0"/>
        <w:shd w:val="clear" w:color="auto" w:fill="E2EFD9" w:themeFill="accent6" w:themeFillTint="33"/>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0E67B2">
        <w:rPr>
          <w:rFonts w:ascii="Arial" w:eastAsia="Times New Roman" w:hAnsi="Arial" w:cs="Arial"/>
          <w:b/>
          <w:i/>
          <w:color w:val="538135" w:themeColor="accent6" w:themeShade="BF"/>
          <w:sz w:val="24"/>
          <w:szCs w:val="24"/>
          <w:u w:val="single"/>
          <w:lang w:val="es-ES" w:eastAsia="es-ES"/>
        </w:rPr>
        <w:t>De conformidad con los artículos 15 y 294 de la Ley de Instituciones de Seguros y Fianzas, para el presente procedimiento de licitación no aplica fianza o caución.</w:t>
      </w:r>
    </w:p>
    <w:p w14:paraId="29168B21" w14:textId="77777777" w:rsidR="000E67B2" w:rsidRPr="00284988" w:rsidRDefault="000E67B2"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p>
    <w:p w14:paraId="23AAF15F" w14:textId="148200D0" w:rsidR="00D25F1E" w:rsidRPr="00284988" w:rsidRDefault="00D25F1E" w:rsidP="00284988">
      <w:pPr>
        <w:pStyle w:val="Ttulo1"/>
      </w:pPr>
      <w:bookmarkStart w:id="37" w:name="_Toc135041714"/>
      <w:r w:rsidRPr="00284988">
        <w:lastRenderedPageBreak/>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lastRenderedPageBreak/>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66B721D" w14:textId="77777777" w:rsidR="00723D69" w:rsidRPr="00723D69" w:rsidRDefault="00723D69" w:rsidP="00723D69">
      <w:pPr>
        <w:spacing w:line="240" w:lineRule="auto"/>
        <w:jc w:val="both"/>
        <w:rPr>
          <w:rFonts w:ascii="Arial" w:hAnsi="Arial" w:cs="Arial"/>
          <w:sz w:val="24"/>
          <w:szCs w:val="24"/>
        </w:rPr>
      </w:pPr>
      <w:bookmarkStart w:id="47" w:name="_Toc135041724"/>
      <w:r w:rsidRPr="00723D69">
        <w:rPr>
          <w:rFonts w:ascii="Arial" w:hAnsi="Arial" w:cs="Arial"/>
          <w:sz w:val="24"/>
          <w:szCs w:val="24"/>
        </w:rPr>
        <w:t>A partir del primer día de atraso respecto de la fecha límite de entrega del bien o de la realización del servicio, se procederá a aplicar una pena convencional por incumplimiento sobre el monto total de la obligación principal, de conformidad a lo establecido en el artículo 276 de la Ley de Instituciones de Seguros y de Fianzas.</w:t>
      </w:r>
    </w:p>
    <w:p w14:paraId="6305679F" w14:textId="77777777"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 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 con</w:t>
      </w:r>
      <w:r w:rsidRPr="00723D69">
        <w:rPr>
          <w:rFonts w:ascii="Arial" w:eastAsia="Times New Roman" w:hAnsi="Arial" w:cs="Arial"/>
          <w:spacing w:val="-1"/>
          <w:sz w:val="24"/>
          <w:szCs w:val="24"/>
          <w:lang w:val="es-ES" w:eastAsia="es-ES"/>
        </w:rPr>
        <w:t xml:space="preserve"> l</w:t>
      </w:r>
      <w:r w:rsidRPr="00723D69">
        <w:rPr>
          <w:rFonts w:ascii="Arial" w:eastAsia="Times New Roman" w:hAnsi="Arial" w:cs="Arial"/>
          <w:sz w:val="24"/>
          <w:szCs w:val="24"/>
          <w:lang w:val="es-ES" w:eastAsia="es-ES"/>
        </w:rPr>
        <w:t>o 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esto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o 107 </w:t>
      </w:r>
      <w:r w:rsidRPr="00723D69">
        <w:rPr>
          <w:rFonts w:ascii="Arial" w:eastAsia="Times New Roman" w:hAnsi="Arial" w:cs="Arial"/>
          <w:spacing w:val="-2"/>
          <w:sz w:val="24"/>
          <w:szCs w:val="24"/>
          <w:lang w:val="es-ES" w:eastAsia="es-ES"/>
        </w:rPr>
        <w:t>d</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de</w:t>
      </w:r>
      <w:r w:rsidRPr="00723D69">
        <w:rPr>
          <w:rFonts w:ascii="Arial" w:eastAsia="Times New Roman" w:hAnsi="Arial" w:cs="Arial"/>
          <w:spacing w:val="-1"/>
          <w:sz w:val="24"/>
          <w:szCs w:val="24"/>
          <w:lang w:val="es-ES" w:eastAsia="es-ES"/>
        </w:rPr>
        <w:t xml:space="preserve"> l</w:t>
      </w:r>
      <w:r w:rsidRPr="00723D69">
        <w:rPr>
          <w:rFonts w:ascii="Arial" w:eastAsia="Times New Roman" w:hAnsi="Arial" w:cs="Arial"/>
          <w:sz w:val="24"/>
          <w:szCs w:val="24"/>
          <w:lang w:val="es-ES" w:eastAsia="es-ES"/>
        </w:rPr>
        <w:t>a Le</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7777777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lastRenderedPageBreak/>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el ar</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w:t>
      </w:r>
      <w:r w:rsidRPr="00723D69">
        <w:rPr>
          <w:rFonts w:ascii="Arial" w:eastAsia="Times New Roman" w:hAnsi="Arial" w:cs="Arial"/>
          <w:spacing w:val="-1"/>
          <w:sz w:val="24"/>
          <w:szCs w:val="24"/>
          <w:lang w:val="es-ES" w:eastAsia="es-ES"/>
        </w:rPr>
        <w:t>0</w:t>
      </w:r>
      <w:r w:rsidRPr="00723D69">
        <w:rPr>
          <w:rFonts w:ascii="Arial" w:eastAsia="Times New Roman" w:hAnsi="Arial" w:cs="Arial"/>
          <w:sz w:val="24"/>
          <w:szCs w:val="24"/>
          <w:lang w:val="es-ES" w:eastAsia="es-ES"/>
        </w:rPr>
        <w:t>3</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am</w:t>
      </w:r>
      <w:r w:rsidRPr="00723D69">
        <w:rPr>
          <w:rFonts w:ascii="Arial" w:eastAsia="Times New Roman" w:hAnsi="Arial" w:cs="Arial"/>
          <w:spacing w:val="-2"/>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723D69">
        <w:rPr>
          <w:rFonts w:ascii="Arial" w:eastAsia="Times New Roman" w:hAnsi="Arial" w:cs="Arial"/>
          <w:b/>
          <w:sz w:val="24"/>
          <w:szCs w:val="24"/>
          <w:lang w:val="es-ES" w:eastAsia="es-ES"/>
        </w:rPr>
        <w:t>ASEJ”</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77777777"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la ASEJ</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 xml:space="preserve">servicio en cualquier momento, sin responsabilidad para ésta, cuando se deba a causas de </w:t>
      </w:r>
      <w:r w:rsidRPr="00721713">
        <w:rPr>
          <w:rFonts w:ascii="Arial" w:eastAsia="Times New Roman" w:hAnsi="Arial" w:cs="Arial"/>
          <w:spacing w:val="-1"/>
          <w:sz w:val="24"/>
          <w:szCs w:val="24"/>
          <w:lang w:val="es-ES" w:eastAsia="es-ES"/>
        </w:rPr>
        <w:lastRenderedPageBreak/>
        <w:t>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Tener acceso a la información relacionada con la convocatoria, igualdad de condiciones para todos los interesados en participar y que no sean establecidos </w:t>
      </w:r>
      <w:r w:rsidRPr="00721713">
        <w:rPr>
          <w:rFonts w:ascii="Arial" w:eastAsia="Times New Roman" w:hAnsi="Arial" w:cs="Arial"/>
          <w:spacing w:val="-1"/>
          <w:sz w:val="24"/>
          <w:szCs w:val="24"/>
          <w:lang w:val="es-ES" w:eastAsia="es-ES"/>
        </w:rPr>
        <w:lastRenderedPageBreak/>
        <w:t>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w:t>
      </w:r>
      <w:r w:rsidRPr="00721713">
        <w:rPr>
          <w:rFonts w:ascii="Arial" w:eastAsia="Times New Roman" w:hAnsi="Arial" w:cs="Arial"/>
          <w:color w:val="000000"/>
          <w:sz w:val="24"/>
          <w:szCs w:val="24"/>
          <w:lang w:val="es-ES" w:eastAsia="es-ES"/>
        </w:rPr>
        <w:lastRenderedPageBreak/>
        <w:t xml:space="preserve">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DE0E6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DE0E6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DE0E6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lastRenderedPageBreak/>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w:t>
      </w:r>
      <w:r>
        <w:rPr>
          <w:rFonts w:ascii="Arial" w:hAnsi="Arial" w:cs="Arial"/>
          <w:b/>
          <w:u w:val="single"/>
        </w:rPr>
        <w:lastRenderedPageBreak/>
        <w:t>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lastRenderedPageBreak/>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586D43" w:rsidRDefault="00586D43" w:rsidP="00203087">
      <w:pPr>
        <w:spacing w:after="0" w:line="240" w:lineRule="auto"/>
      </w:pPr>
      <w:r>
        <w:separator/>
      </w:r>
    </w:p>
  </w:endnote>
  <w:endnote w:type="continuationSeparator" w:id="0">
    <w:p w14:paraId="339D9169" w14:textId="77777777" w:rsidR="00586D43" w:rsidRDefault="00586D43"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12E20C8A" w:rsidR="00586D43" w:rsidRPr="00FE3509" w:rsidRDefault="00586D43"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C76810">
          <w:rPr>
            <w:rFonts w:ascii="Arial" w:hAnsi="Arial" w:cs="Arial"/>
            <w:noProof/>
            <w:sz w:val="22"/>
          </w:rPr>
          <w:t>21</w:t>
        </w:r>
        <w:r w:rsidRPr="00FE3509">
          <w:rPr>
            <w:rFonts w:ascii="Arial" w:hAnsi="Arial" w:cs="Arial"/>
            <w:sz w:val="22"/>
          </w:rPr>
          <w:fldChar w:fldCharType="end"/>
        </w:r>
      </w:p>
    </w:sdtContent>
  </w:sdt>
  <w:p w14:paraId="4BD93C9F" w14:textId="77777777" w:rsidR="00586D43" w:rsidRDefault="00586D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586D43" w:rsidRDefault="00586D43" w:rsidP="00203087">
      <w:pPr>
        <w:spacing w:after="0" w:line="240" w:lineRule="auto"/>
      </w:pPr>
      <w:r>
        <w:separator/>
      </w:r>
    </w:p>
  </w:footnote>
  <w:footnote w:type="continuationSeparator" w:id="0">
    <w:p w14:paraId="13365356" w14:textId="77777777" w:rsidR="00586D43" w:rsidRDefault="00586D43"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6"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7"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9"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3"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5"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6"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2"/>
  </w:num>
  <w:num w:numId="4">
    <w:abstractNumId w:val="24"/>
  </w:num>
  <w:num w:numId="5">
    <w:abstractNumId w:val="15"/>
  </w:num>
  <w:num w:numId="6">
    <w:abstractNumId w:val="23"/>
  </w:num>
  <w:num w:numId="7">
    <w:abstractNumId w:val="7"/>
  </w:num>
  <w:num w:numId="8">
    <w:abstractNumId w:val="32"/>
  </w:num>
  <w:num w:numId="9">
    <w:abstractNumId w:val="9"/>
  </w:num>
  <w:num w:numId="10">
    <w:abstractNumId w:val="16"/>
  </w:num>
  <w:num w:numId="11">
    <w:abstractNumId w:val="6"/>
  </w:num>
  <w:num w:numId="12">
    <w:abstractNumId w:val="22"/>
  </w:num>
  <w:num w:numId="13">
    <w:abstractNumId w:val="2"/>
  </w:num>
  <w:num w:numId="14">
    <w:abstractNumId w:val="4"/>
  </w:num>
  <w:num w:numId="15">
    <w:abstractNumId w:val="33"/>
  </w:num>
  <w:num w:numId="16">
    <w:abstractNumId w:val="1"/>
  </w:num>
  <w:num w:numId="17">
    <w:abstractNumId w:val="19"/>
  </w:num>
  <w:num w:numId="18">
    <w:abstractNumId w:val="20"/>
  </w:num>
  <w:num w:numId="19">
    <w:abstractNumId w:val="0"/>
  </w:num>
  <w:num w:numId="20">
    <w:abstractNumId w:val="13"/>
  </w:num>
  <w:num w:numId="21">
    <w:abstractNumId w:val="5"/>
  </w:num>
  <w:num w:numId="22">
    <w:abstractNumId w:val="29"/>
  </w:num>
  <w:num w:numId="23">
    <w:abstractNumId w:val="35"/>
  </w:num>
  <w:num w:numId="24">
    <w:abstractNumId w:val="18"/>
  </w:num>
  <w:num w:numId="25">
    <w:abstractNumId w:val="11"/>
  </w:num>
  <w:num w:numId="26">
    <w:abstractNumId w:val="21"/>
  </w:num>
  <w:num w:numId="27">
    <w:abstractNumId w:val="34"/>
  </w:num>
  <w:num w:numId="28">
    <w:abstractNumId w:val="14"/>
  </w:num>
  <w:num w:numId="29">
    <w:abstractNumId w:val="30"/>
  </w:num>
  <w:num w:numId="30">
    <w:abstractNumId w:val="17"/>
  </w:num>
  <w:num w:numId="31">
    <w:abstractNumId w:val="25"/>
  </w:num>
  <w:num w:numId="32">
    <w:abstractNumId w:val="37"/>
  </w:num>
  <w:num w:numId="33">
    <w:abstractNumId w:val="3"/>
  </w:num>
  <w:num w:numId="34">
    <w:abstractNumId w:val="28"/>
  </w:num>
  <w:num w:numId="35">
    <w:abstractNumId w:val="27"/>
  </w:num>
  <w:num w:numId="36">
    <w:abstractNumId w:val="26"/>
  </w:num>
  <w:num w:numId="37">
    <w:abstractNumId w:val="8"/>
  </w:num>
  <w:num w:numId="38">
    <w:abstractNumId w:val="36"/>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86437"/>
    <w:rsid w:val="00091F9B"/>
    <w:rsid w:val="00092B91"/>
    <w:rsid w:val="000A578C"/>
    <w:rsid w:val="000C341B"/>
    <w:rsid w:val="000C5354"/>
    <w:rsid w:val="000D4B48"/>
    <w:rsid w:val="000D558B"/>
    <w:rsid w:val="000E67B2"/>
    <w:rsid w:val="000F57B7"/>
    <w:rsid w:val="00112D85"/>
    <w:rsid w:val="001153E6"/>
    <w:rsid w:val="001214A0"/>
    <w:rsid w:val="00122575"/>
    <w:rsid w:val="001269C6"/>
    <w:rsid w:val="00127875"/>
    <w:rsid w:val="001535ED"/>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837E8"/>
    <w:rsid w:val="00586D43"/>
    <w:rsid w:val="005A2ECD"/>
    <w:rsid w:val="005A37E6"/>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23D69"/>
    <w:rsid w:val="00732669"/>
    <w:rsid w:val="00743E28"/>
    <w:rsid w:val="00747F65"/>
    <w:rsid w:val="00771827"/>
    <w:rsid w:val="00787404"/>
    <w:rsid w:val="007A0FEB"/>
    <w:rsid w:val="007A70E7"/>
    <w:rsid w:val="007B3A4D"/>
    <w:rsid w:val="007B5759"/>
    <w:rsid w:val="007C0F3D"/>
    <w:rsid w:val="007C233B"/>
    <w:rsid w:val="007C5B54"/>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9F6701"/>
    <w:rsid w:val="00A05111"/>
    <w:rsid w:val="00A177DB"/>
    <w:rsid w:val="00A21DF9"/>
    <w:rsid w:val="00A34F2B"/>
    <w:rsid w:val="00A44827"/>
    <w:rsid w:val="00A45D71"/>
    <w:rsid w:val="00A543A8"/>
    <w:rsid w:val="00A7179D"/>
    <w:rsid w:val="00A77E90"/>
    <w:rsid w:val="00A80157"/>
    <w:rsid w:val="00AA1349"/>
    <w:rsid w:val="00AB5F9A"/>
    <w:rsid w:val="00AC2910"/>
    <w:rsid w:val="00AC353A"/>
    <w:rsid w:val="00B019CE"/>
    <w:rsid w:val="00B03113"/>
    <w:rsid w:val="00B048CA"/>
    <w:rsid w:val="00B052A5"/>
    <w:rsid w:val="00B21002"/>
    <w:rsid w:val="00B33783"/>
    <w:rsid w:val="00B43F01"/>
    <w:rsid w:val="00B63286"/>
    <w:rsid w:val="00B7089A"/>
    <w:rsid w:val="00B77B84"/>
    <w:rsid w:val="00B77C06"/>
    <w:rsid w:val="00B84813"/>
    <w:rsid w:val="00BA18C5"/>
    <w:rsid w:val="00BA5F47"/>
    <w:rsid w:val="00BB4ECD"/>
    <w:rsid w:val="00BF6CAE"/>
    <w:rsid w:val="00C17491"/>
    <w:rsid w:val="00C17719"/>
    <w:rsid w:val="00C32784"/>
    <w:rsid w:val="00C36A1D"/>
    <w:rsid w:val="00C432A8"/>
    <w:rsid w:val="00C5034E"/>
    <w:rsid w:val="00C52726"/>
    <w:rsid w:val="00C544EB"/>
    <w:rsid w:val="00C678FA"/>
    <w:rsid w:val="00C728CB"/>
    <w:rsid w:val="00C735D6"/>
    <w:rsid w:val="00C76810"/>
    <w:rsid w:val="00C83F55"/>
    <w:rsid w:val="00C97CB8"/>
    <w:rsid w:val="00CB1097"/>
    <w:rsid w:val="00CE6334"/>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0E6D"/>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5986-B518-4E97-BAE6-9FBAFA4C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49</Pages>
  <Words>17775</Words>
  <Characters>97767</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58</cp:revision>
  <cp:lastPrinted>2023-11-29T19:52:00Z</cp:lastPrinted>
  <dcterms:created xsi:type="dcterms:W3CDTF">2023-09-07T15:41:00Z</dcterms:created>
  <dcterms:modified xsi:type="dcterms:W3CDTF">2024-08-26T15:33:00Z</dcterms:modified>
</cp:coreProperties>
</file>